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95"/>
        <w:tblW w:w="0" w:type="auto"/>
        <w:tblLook w:val="04A0"/>
      </w:tblPr>
      <w:tblGrid>
        <w:gridCol w:w="314"/>
        <w:gridCol w:w="44"/>
        <w:gridCol w:w="2102"/>
        <w:gridCol w:w="315"/>
        <w:gridCol w:w="15"/>
        <w:gridCol w:w="2132"/>
        <w:gridCol w:w="345"/>
        <w:gridCol w:w="15"/>
        <w:gridCol w:w="2103"/>
        <w:gridCol w:w="330"/>
        <w:gridCol w:w="30"/>
        <w:gridCol w:w="2102"/>
        <w:gridCol w:w="298"/>
        <w:gridCol w:w="30"/>
        <w:gridCol w:w="2148"/>
        <w:gridCol w:w="315"/>
        <w:gridCol w:w="45"/>
        <w:gridCol w:w="2103"/>
      </w:tblGrid>
      <w:tr w:rsidR="006C483A" w:rsidRPr="006C483A" w:rsidTr="006C483A">
        <w:tc>
          <w:tcPr>
            <w:tcW w:w="2460" w:type="dxa"/>
            <w:gridSpan w:val="3"/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К  1</w:t>
            </w:r>
          </w:p>
        </w:tc>
        <w:tc>
          <w:tcPr>
            <w:tcW w:w="2462" w:type="dxa"/>
            <w:gridSpan w:val="3"/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К 2</w:t>
            </w:r>
          </w:p>
        </w:tc>
        <w:tc>
          <w:tcPr>
            <w:tcW w:w="2463" w:type="dxa"/>
            <w:gridSpan w:val="3"/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К 3</w:t>
            </w:r>
          </w:p>
        </w:tc>
        <w:tc>
          <w:tcPr>
            <w:tcW w:w="2462" w:type="dxa"/>
            <w:gridSpan w:val="3"/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К 4</w:t>
            </w:r>
          </w:p>
        </w:tc>
        <w:tc>
          <w:tcPr>
            <w:tcW w:w="2476" w:type="dxa"/>
            <w:gridSpan w:val="3"/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К 5</w:t>
            </w:r>
          </w:p>
        </w:tc>
        <w:tc>
          <w:tcPr>
            <w:tcW w:w="2463" w:type="dxa"/>
            <w:gridSpan w:val="3"/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К 6</w:t>
            </w:r>
          </w:p>
        </w:tc>
      </w:tr>
      <w:tr w:rsidR="006C483A" w:rsidRPr="006C483A" w:rsidTr="006C483A">
        <w:tc>
          <w:tcPr>
            <w:tcW w:w="2460" w:type="dxa"/>
            <w:gridSpan w:val="3"/>
          </w:tcPr>
          <w:p w:rsidR="00E56915" w:rsidRPr="006C483A" w:rsidRDefault="00E56915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Створення умов ефективного навчання</w:t>
            </w:r>
          </w:p>
        </w:tc>
        <w:tc>
          <w:tcPr>
            <w:tcW w:w="2462" w:type="dxa"/>
            <w:gridSpan w:val="3"/>
          </w:tcPr>
          <w:p w:rsidR="00E56915" w:rsidRPr="006C483A" w:rsidRDefault="00E56915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Предметна і навчальна компетентність</w:t>
            </w:r>
          </w:p>
        </w:tc>
        <w:tc>
          <w:tcPr>
            <w:tcW w:w="2463" w:type="dxa"/>
            <w:gridSpan w:val="3"/>
          </w:tcPr>
          <w:p w:rsidR="00E56915" w:rsidRPr="006C483A" w:rsidRDefault="00E56915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Техніка пояснення, письма і мови</w:t>
            </w:r>
          </w:p>
        </w:tc>
        <w:tc>
          <w:tcPr>
            <w:tcW w:w="2462" w:type="dxa"/>
            <w:gridSpan w:val="3"/>
          </w:tcPr>
          <w:p w:rsidR="00E56915" w:rsidRPr="006C483A" w:rsidRDefault="00E56915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Навчальна взаємодія</w:t>
            </w:r>
          </w:p>
        </w:tc>
        <w:tc>
          <w:tcPr>
            <w:tcW w:w="2476" w:type="dxa"/>
            <w:gridSpan w:val="3"/>
          </w:tcPr>
          <w:p w:rsidR="00E56915" w:rsidRPr="006C483A" w:rsidRDefault="00E56915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Створення та підтримка сприятливих умов</w:t>
            </w:r>
          </w:p>
        </w:tc>
        <w:tc>
          <w:tcPr>
            <w:tcW w:w="2463" w:type="dxa"/>
            <w:gridSpan w:val="3"/>
          </w:tcPr>
          <w:p w:rsidR="00E56915" w:rsidRPr="006C483A" w:rsidRDefault="00E56915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Підтримка робочої дисципліни на уроках</w:t>
            </w:r>
          </w:p>
        </w:tc>
      </w:tr>
      <w:tr w:rsidR="006C483A" w:rsidRPr="006C483A" w:rsidTr="006C483A">
        <w:tc>
          <w:tcPr>
            <w:tcW w:w="2460" w:type="dxa"/>
            <w:gridSpan w:val="3"/>
          </w:tcPr>
          <w:p w:rsidR="00E56915" w:rsidRPr="006C483A" w:rsidRDefault="00E56915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Забезпечення умов досягнення ефекту на уроці</w:t>
            </w:r>
          </w:p>
        </w:tc>
        <w:tc>
          <w:tcPr>
            <w:tcW w:w="2462" w:type="dxa"/>
            <w:gridSpan w:val="3"/>
          </w:tcPr>
          <w:p w:rsidR="00E56915" w:rsidRPr="006C483A" w:rsidRDefault="00E56915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Фахова компетентність</w:t>
            </w:r>
          </w:p>
        </w:tc>
        <w:tc>
          <w:tcPr>
            <w:tcW w:w="2463" w:type="dxa"/>
            <w:gridSpan w:val="3"/>
          </w:tcPr>
          <w:p w:rsidR="00E56915" w:rsidRPr="006C483A" w:rsidRDefault="00E56915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Використання усних та писемних пояснень</w:t>
            </w:r>
          </w:p>
        </w:tc>
        <w:tc>
          <w:tcPr>
            <w:tcW w:w="2462" w:type="dxa"/>
            <w:gridSpan w:val="3"/>
          </w:tcPr>
          <w:p w:rsidR="00E56915" w:rsidRPr="006C483A" w:rsidRDefault="00E56915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Контроль та корекція діяльності учнів</w:t>
            </w:r>
          </w:p>
        </w:tc>
        <w:tc>
          <w:tcPr>
            <w:tcW w:w="2476" w:type="dxa"/>
            <w:gridSpan w:val="3"/>
          </w:tcPr>
          <w:p w:rsidR="00E56915" w:rsidRPr="006C483A" w:rsidRDefault="00E56915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Створення робочої продуктивної атмосфери на уроці</w:t>
            </w:r>
          </w:p>
        </w:tc>
        <w:tc>
          <w:tcPr>
            <w:tcW w:w="2463" w:type="dxa"/>
            <w:gridSpan w:val="3"/>
          </w:tcPr>
          <w:p w:rsidR="00E56915" w:rsidRPr="006C483A" w:rsidRDefault="00E56915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Підтримка припустимої  поведінки в класі</w:t>
            </w:r>
          </w:p>
        </w:tc>
      </w:tr>
      <w:tr w:rsidR="006429B9" w:rsidRPr="006C483A" w:rsidTr="006C483A">
        <w:tc>
          <w:tcPr>
            <w:tcW w:w="358" w:type="dxa"/>
            <w:gridSpan w:val="2"/>
            <w:tcBorders>
              <w:right w:val="single" w:sz="4" w:space="0" w:color="auto"/>
            </w:tcBorders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Планування уроку 9попередні вказівки щодо мети, завдань, основних етапів)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47" w:type="dxa"/>
            <w:gridSpan w:val="2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Точність  та своєчасність інформації та демонстрацій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Використання потрібних слів та термінів для ясного пояснення змісту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Об’єктивне оцінювання діяльності учнів (відділяється від особистого відношення вчителя до них)</w:t>
            </w:r>
          </w:p>
        </w:tc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Важливість теми уроку у контексті предмету та майбутнього життя учнів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Варіювання форм навчальної діяльності</w:t>
            </w:r>
          </w:p>
        </w:tc>
      </w:tr>
      <w:tr w:rsidR="006429B9" w:rsidRPr="006C483A" w:rsidTr="006C483A">
        <w:tc>
          <w:tcPr>
            <w:tcW w:w="358" w:type="dxa"/>
            <w:gridSpan w:val="2"/>
            <w:tcBorders>
              <w:right w:val="single" w:sz="4" w:space="0" w:color="auto"/>
            </w:tcBorders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Раціональність та доцільність використання навчальних посібників та ТЗН 9сприяння швидкому включенню учнів у роботу)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147" w:type="dxa"/>
            <w:gridSpan w:val="2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Точні і цікаві коментарі та відповіді на питання учнів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Відображення на дошці ключових моментів уроку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Уникнення прямих вказівок та корекції діяльності учня</w:t>
            </w:r>
          </w:p>
        </w:tc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 xml:space="preserve">Використання цікавих та незвичайних аспектів теми з метою активізації учнів 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Використання різних засобів активізації діяльності учнів на уроці</w:t>
            </w:r>
          </w:p>
        </w:tc>
      </w:tr>
      <w:tr w:rsidR="006429B9" w:rsidRPr="006C483A" w:rsidTr="006C483A">
        <w:tc>
          <w:tcPr>
            <w:tcW w:w="358" w:type="dxa"/>
            <w:gridSpan w:val="2"/>
            <w:tcBorders>
              <w:right w:val="single" w:sz="4" w:space="0" w:color="auto"/>
            </w:tcBorders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Раціональне використання часу (відсутність непотрібних затримок та відступів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147" w:type="dxa"/>
            <w:gridSpan w:val="2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Використання не менше двох форм, методів навчання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Акуратні та чіткі записи для учнів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Спонукання учнів до оцінювання та корекції  роботи товариша</w:t>
            </w:r>
          </w:p>
        </w:tc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Стимулювання інтересу учнів за допомогою питань та гумору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Використання активних методів навчання</w:t>
            </w:r>
            <w:r w:rsidR="006C483A" w:rsidRPr="006C483A">
              <w:rPr>
                <w:sz w:val="16"/>
                <w:szCs w:val="16"/>
                <w:lang w:val="uk-UA"/>
              </w:rPr>
              <w:t xml:space="preserve"> (дискусії, розподіл ролей)</w:t>
            </w:r>
          </w:p>
        </w:tc>
      </w:tr>
      <w:tr w:rsidR="006429B9" w:rsidRPr="006C483A" w:rsidTr="006C483A">
        <w:tc>
          <w:tcPr>
            <w:tcW w:w="358" w:type="dxa"/>
            <w:gridSpan w:val="2"/>
            <w:tcBorders>
              <w:right w:val="single" w:sz="4" w:space="0" w:color="auto"/>
            </w:tcBorders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Ефективність роботи класу (передача учням функцій вчителя: оцінювання, контролю, корекції, планування тощо)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147" w:type="dxa"/>
            <w:gridSpan w:val="2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Застосування оригінальних методів та заходів навчання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Чітка, правильна побудова і вимова усної мови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Корекція діяльності самих учнів за запитаннями</w:t>
            </w:r>
          </w:p>
        </w:tc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Використання та опрацювання ідей учнів на уроці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</w:tcBorders>
          </w:tcPr>
          <w:p w:rsidR="00E56915" w:rsidRPr="006C483A" w:rsidRDefault="006C483A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Застосування спеціальних способів організації навчальної діяльності пасивних учнів</w:t>
            </w:r>
          </w:p>
        </w:tc>
      </w:tr>
      <w:tr w:rsidR="006C483A" w:rsidRPr="006C483A" w:rsidTr="006C483A">
        <w:tc>
          <w:tcPr>
            <w:tcW w:w="2460" w:type="dxa"/>
            <w:gridSpan w:val="3"/>
          </w:tcPr>
          <w:p w:rsidR="00E56915" w:rsidRPr="006C483A" w:rsidRDefault="00E56915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Адаптація навчання до учнів</w:t>
            </w:r>
          </w:p>
        </w:tc>
        <w:tc>
          <w:tcPr>
            <w:tcW w:w="2462" w:type="dxa"/>
            <w:gridSpan w:val="3"/>
          </w:tcPr>
          <w:p w:rsidR="00E56915" w:rsidRPr="006C483A" w:rsidRDefault="00814985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Послідовність організації НВП</w:t>
            </w:r>
          </w:p>
        </w:tc>
        <w:tc>
          <w:tcPr>
            <w:tcW w:w="2463" w:type="dxa"/>
            <w:gridSpan w:val="3"/>
          </w:tcPr>
          <w:p w:rsidR="00E56915" w:rsidRPr="006C483A" w:rsidRDefault="00814985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Роз’яснення незрозумілого</w:t>
            </w:r>
          </w:p>
        </w:tc>
        <w:tc>
          <w:tcPr>
            <w:tcW w:w="2462" w:type="dxa"/>
            <w:gridSpan w:val="3"/>
          </w:tcPr>
          <w:p w:rsidR="00E56915" w:rsidRPr="006C483A" w:rsidRDefault="006429B9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Використання пропозицій та запитів учнів</w:t>
            </w:r>
          </w:p>
        </w:tc>
        <w:tc>
          <w:tcPr>
            <w:tcW w:w="2476" w:type="dxa"/>
            <w:gridSpan w:val="3"/>
          </w:tcPr>
          <w:p w:rsidR="00E56915" w:rsidRPr="006C483A" w:rsidRDefault="006429B9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Вироблення позитивної самооцінки в учнів</w:t>
            </w:r>
          </w:p>
        </w:tc>
        <w:tc>
          <w:tcPr>
            <w:tcW w:w="2463" w:type="dxa"/>
            <w:gridSpan w:val="3"/>
          </w:tcPr>
          <w:p w:rsidR="00E56915" w:rsidRPr="006C483A" w:rsidRDefault="006C483A" w:rsidP="006C483A">
            <w:pPr>
              <w:rPr>
                <w:b/>
                <w:i/>
                <w:sz w:val="16"/>
                <w:szCs w:val="16"/>
                <w:lang w:val="uk-UA"/>
              </w:rPr>
            </w:pPr>
            <w:r w:rsidRPr="006C483A">
              <w:rPr>
                <w:b/>
                <w:i/>
                <w:sz w:val="16"/>
                <w:szCs w:val="16"/>
                <w:lang w:val="uk-UA"/>
              </w:rPr>
              <w:t>Дії при порушенні дисципліни</w:t>
            </w:r>
          </w:p>
        </w:tc>
      </w:tr>
      <w:tr w:rsidR="006C483A" w:rsidRPr="006C483A" w:rsidTr="006C483A">
        <w:tc>
          <w:tcPr>
            <w:tcW w:w="314" w:type="dxa"/>
            <w:tcBorders>
              <w:right w:val="single" w:sz="4" w:space="0" w:color="auto"/>
            </w:tcBorders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Відповідність навчання віковим особливостям учнів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Мотивація, стимулююче введення уроку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Заміна незрозумілих слів або фраз загальнодоступними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Пояснення, питання та приклади запитуються в учнів</w:t>
            </w: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Вільна від глузування та сарказму мова вчителя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E56915" w:rsidRPr="006C483A" w:rsidRDefault="006C483A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Вчитель не звертає уваги на дрібні ненавмисні порушення  дисципліни на уроці</w:t>
            </w:r>
          </w:p>
        </w:tc>
      </w:tr>
      <w:tr w:rsidR="006C483A" w:rsidRPr="006C483A" w:rsidTr="006C483A">
        <w:tc>
          <w:tcPr>
            <w:tcW w:w="314" w:type="dxa"/>
            <w:tcBorders>
              <w:right w:val="single" w:sz="4" w:space="0" w:color="auto"/>
            </w:tcBorders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Генералізація матеріалу, виділення найбільш важких місць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Наочне подання нового матеріалу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Пояснення на прикладах та аналогіями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proofErr w:type="spellStart"/>
            <w:r w:rsidRPr="006C483A">
              <w:rPr>
                <w:sz w:val="16"/>
                <w:szCs w:val="16"/>
                <w:lang w:val="uk-UA"/>
              </w:rPr>
              <w:t>Тактичність</w:t>
            </w:r>
            <w:proofErr w:type="spellEnd"/>
            <w:r w:rsidRPr="006C483A">
              <w:rPr>
                <w:sz w:val="16"/>
                <w:szCs w:val="16"/>
                <w:lang w:val="uk-UA"/>
              </w:rPr>
              <w:t xml:space="preserve"> щодо відмітки слабких місць, недосконалих прикладів учнів</w:t>
            </w: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Використання у теплій, дружелюбній манері імен учнів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E56915" w:rsidRPr="006C483A" w:rsidRDefault="006C483A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Порушення дисципліни стикається з негайною реакцією вчителя</w:t>
            </w:r>
          </w:p>
        </w:tc>
      </w:tr>
      <w:tr w:rsidR="006C483A" w:rsidRPr="006C483A" w:rsidTr="006C483A">
        <w:tc>
          <w:tcPr>
            <w:tcW w:w="314" w:type="dxa"/>
            <w:tcBorders>
              <w:right w:val="single" w:sz="4" w:space="0" w:color="auto"/>
            </w:tcBorders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Надання можливості, для учнів різних рівнів успішності, засвоювати навчальний матеріал різних рівнів складності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 xml:space="preserve">Об’єднання, узагальнення, закріплення </w:t>
            </w:r>
            <w:proofErr w:type="spellStart"/>
            <w:r w:rsidRPr="006C483A">
              <w:rPr>
                <w:sz w:val="16"/>
                <w:szCs w:val="16"/>
                <w:lang w:val="uk-UA"/>
              </w:rPr>
              <w:t>навч</w:t>
            </w:r>
            <w:proofErr w:type="spellEnd"/>
            <w:r w:rsidRPr="006C483A">
              <w:rPr>
                <w:sz w:val="16"/>
                <w:szCs w:val="16"/>
                <w:lang w:val="uk-UA"/>
              </w:rPr>
              <w:t>. результатів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Надання учнями додаткової інформації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Прийняття з вдячністю питань та пропозицій школярів</w:t>
            </w: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Заохочення конкретних учнів за конкретну роботу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E56915" w:rsidRPr="006C483A" w:rsidRDefault="006C483A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Відтворення дисципліни з допомогою учнів</w:t>
            </w:r>
          </w:p>
        </w:tc>
      </w:tr>
      <w:tr w:rsidR="006C483A" w:rsidRPr="006C483A" w:rsidTr="006C483A">
        <w:tc>
          <w:tcPr>
            <w:tcW w:w="314" w:type="dxa"/>
            <w:tcBorders>
              <w:right w:val="single" w:sz="4" w:space="0" w:color="auto"/>
            </w:tcBorders>
          </w:tcPr>
          <w:p w:rsidR="00E56915" w:rsidRPr="006C483A" w:rsidRDefault="00E5691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Навчання-взаємодія вчителя та учнів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Підведення підсумків, зв’язок з життям, іншими предметами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Виведення неявної інформації з аналізу відомих знань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E56915" w:rsidRPr="006C483A" w:rsidRDefault="00814985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Опрацювання та використання на уроці ідей та пропозицій учнів</w:t>
            </w: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Підтримка учнів, які мають труднощі при вивченні навчального матеріалу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E56915" w:rsidRPr="006C483A" w:rsidRDefault="006429B9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E56915" w:rsidRPr="006C483A" w:rsidRDefault="006C483A" w:rsidP="006C483A">
            <w:pPr>
              <w:rPr>
                <w:sz w:val="16"/>
                <w:szCs w:val="16"/>
                <w:lang w:val="uk-UA"/>
              </w:rPr>
            </w:pPr>
            <w:r w:rsidRPr="006C483A">
              <w:rPr>
                <w:sz w:val="16"/>
                <w:szCs w:val="16"/>
                <w:lang w:val="uk-UA"/>
              </w:rPr>
              <w:t>Використання порушників дисципліни для організації особливих форм навчальної  роботи</w:t>
            </w:r>
          </w:p>
        </w:tc>
      </w:tr>
    </w:tbl>
    <w:p w:rsidR="00BB4F8D" w:rsidRPr="006C483A" w:rsidRDefault="006C483A" w:rsidP="006C483A">
      <w:pPr>
        <w:jc w:val="center"/>
        <w:rPr>
          <w:sz w:val="20"/>
          <w:szCs w:val="20"/>
          <w:lang w:val="uk-UA"/>
        </w:rPr>
      </w:pPr>
      <w:r w:rsidRPr="006C483A">
        <w:rPr>
          <w:sz w:val="20"/>
          <w:szCs w:val="20"/>
          <w:lang w:val="uk-UA"/>
        </w:rPr>
        <w:t>Спостереження за особистісно-орієнтованим уроком</w:t>
      </w:r>
      <w:r>
        <w:rPr>
          <w:sz w:val="20"/>
          <w:szCs w:val="20"/>
          <w:lang w:val="uk-UA"/>
        </w:rPr>
        <w:t xml:space="preserve">        Оцінка:  – 2-виконується повністю, 1-виконується частково, 0-не виконується</w:t>
      </w:r>
    </w:p>
    <w:sectPr w:rsidR="00BB4F8D" w:rsidRPr="006C483A" w:rsidSect="006C48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6915"/>
    <w:rsid w:val="006429B9"/>
    <w:rsid w:val="006C483A"/>
    <w:rsid w:val="00814985"/>
    <w:rsid w:val="00BB4F8D"/>
    <w:rsid w:val="00E5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1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0810-6470-4B24-B1A0-94857BFC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cp:lastPrinted>2011-10-11T09:32:00Z</cp:lastPrinted>
  <dcterms:created xsi:type="dcterms:W3CDTF">2011-10-11T07:58:00Z</dcterms:created>
  <dcterms:modified xsi:type="dcterms:W3CDTF">2011-10-11T09:33:00Z</dcterms:modified>
</cp:coreProperties>
</file>