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21" w:rsidRPr="00C55821" w:rsidRDefault="00C55821" w:rsidP="00C55821">
      <w:pPr>
        <w:jc w:val="both"/>
        <w:rPr>
          <w:sz w:val="28"/>
          <w:szCs w:val="28"/>
          <w:lang w:val="uk-UA"/>
        </w:rPr>
      </w:pPr>
      <w:r>
        <w:rPr>
          <w:noProof/>
          <w:sz w:val="28"/>
          <w:szCs w:val="28"/>
        </w:rPr>
        <w:drawing>
          <wp:anchor distT="0" distB="0" distL="114300" distR="114300" simplePos="0" relativeHeight="251658240" behindDoc="0" locked="0" layoutInCell="1" allowOverlap="1">
            <wp:simplePos x="0" y="0"/>
            <wp:positionH relativeFrom="column">
              <wp:posOffset>4403725</wp:posOffset>
            </wp:positionH>
            <wp:positionV relativeFrom="paragraph">
              <wp:posOffset>78105</wp:posOffset>
            </wp:positionV>
            <wp:extent cx="2696845" cy="2694940"/>
            <wp:effectExtent l="19050" t="0" r="8255" b="0"/>
            <wp:wrapSquare wrapText="bothSides"/>
            <wp:docPr id="13" name="Рисунок 13" descr="https://encrypted-tbn1.gstatic.com/images?q=tbn:ANd9GcTqFt7DPrygJKCPSOs1RGSE0zWzU9V3uq40zMufsJfRvfoP04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TqFt7DPrygJKCPSOs1RGSE0zWzU9V3uq40zMufsJfRvfoP04mq"/>
                    <pic:cNvPicPr>
                      <a:picLocks noChangeAspect="1" noChangeArrowheads="1"/>
                    </pic:cNvPicPr>
                  </pic:nvPicPr>
                  <pic:blipFill>
                    <a:blip r:embed="rId4"/>
                    <a:srcRect/>
                    <a:stretch>
                      <a:fillRect/>
                    </a:stretch>
                  </pic:blipFill>
                  <pic:spPr bwMode="auto">
                    <a:xfrm>
                      <a:off x="0" y="0"/>
                      <a:ext cx="2696845" cy="2694940"/>
                    </a:xfrm>
                    <a:prstGeom prst="rect">
                      <a:avLst/>
                    </a:prstGeom>
                    <a:noFill/>
                    <a:ln w="9525">
                      <a:noFill/>
                      <a:miter lim="800000"/>
                      <a:headEnd/>
                      <a:tailEnd/>
                    </a:ln>
                  </pic:spPr>
                </pic:pic>
              </a:graphicData>
            </a:graphic>
          </wp:anchor>
        </w:drawing>
      </w:r>
    </w:p>
    <w:p w:rsidR="00C55821" w:rsidRDefault="00C55821" w:rsidP="00C55821">
      <w:pPr>
        <w:jc w:val="both"/>
        <w:rPr>
          <w:color w:val="FF0000"/>
          <w:sz w:val="40"/>
          <w:szCs w:val="40"/>
          <w:lang w:val="uk-UA"/>
        </w:rPr>
      </w:pPr>
      <w:r w:rsidRPr="00C55821">
        <w:rPr>
          <w:color w:val="FF0000"/>
          <w:sz w:val="40"/>
          <w:szCs w:val="40"/>
          <w:lang w:val="uk-UA"/>
        </w:rPr>
        <w:t xml:space="preserve">Поняття позакласної та позашкільної </w:t>
      </w:r>
      <w:r>
        <w:rPr>
          <w:color w:val="FF0000"/>
          <w:sz w:val="40"/>
          <w:szCs w:val="40"/>
          <w:lang w:val="uk-UA"/>
        </w:rPr>
        <w:t xml:space="preserve">         </w:t>
      </w:r>
    </w:p>
    <w:p w:rsidR="00C55821" w:rsidRPr="00C55821" w:rsidRDefault="00C55821" w:rsidP="00C55821">
      <w:pPr>
        <w:jc w:val="both"/>
        <w:rPr>
          <w:color w:val="FF0000"/>
          <w:sz w:val="40"/>
          <w:szCs w:val="40"/>
          <w:lang w:val="uk-UA"/>
        </w:rPr>
      </w:pPr>
      <w:r>
        <w:rPr>
          <w:color w:val="FF0000"/>
          <w:sz w:val="40"/>
          <w:szCs w:val="40"/>
          <w:lang w:val="uk-UA"/>
        </w:rPr>
        <w:t xml:space="preserve">               </w:t>
      </w:r>
      <w:r w:rsidRPr="00C55821">
        <w:rPr>
          <w:color w:val="FF0000"/>
          <w:sz w:val="40"/>
          <w:szCs w:val="40"/>
          <w:lang w:val="uk-UA"/>
        </w:rPr>
        <w:t>виховної роботи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 xml:space="preserve">Важлива роль у вихованні учнів, розширенні й поглибленні їхніх знань, розвиткові творчих здібностей належить спеціально організованій виховній роботі у позанавчальний час. Таку роботу називають </w:t>
      </w:r>
      <w:r w:rsidRPr="00C55821">
        <w:rPr>
          <w:b/>
          <w:sz w:val="28"/>
          <w:szCs w:val="28"/>
          <w:lang w:val="uk-UA"/>
        </w:rPr>
        <w:t>позакласною</w:t>
      </w:r>
      <w:r w:rsidRPr="00C55821">
        <w:rPr>
          <w:sz w:val="28"/>
          <w:szCs w:val="28"/>
          <w:lang w:val="uk-UA"/>
        </w:rPr>
        <w:t xml:space="preserve"> та </w:t>
      </w:r>
      <w:r w:rsidRPr="00C55821">
        <w:rPr>
          <w:b/>
          <w:sz w:val="28"/>
          <w:szCs w:val="28"/>
          <w:lang w:val="uk-UA"/>
        </w:rPr>
        <w:t>позашкільною</w:t>
      </w:r>
      <w:r w:rsidRPr="00C55821">
        <w:rPr>
          <w:sz w:val="28"/>
          <w:szCs w:val="28"/>
          <w:lang w:val="uk-UA"/>
        </w:rPr>
        <w:t>.</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b/>
          <w:sz w:val="28"/>
          <w:szCs w:val="28"/>
          <w:lang w:val="uk-UA"/>
        </w:rPr>
        <w:t>Позакласна робота</w:t>
      </w:r>
      <w:r w:rsidRPr="00C55821">
        <w:rPr>
          <w:sz w:val="28"/>
          <w:szCs w:val="28"/>
          <w:lang w:val="uk-UA"/>
        </w:rPr>
        <w:t xml:space="preserve"> — різноманітна освітня і виховна робота, спрямована на задоволення інтересів і запитів дітей, організована в позаурочний час педагогічним колективом школи.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b/>
          <w:sz w:val="28"/>
          <w:szCs w:val="28"/>
          <w:lang w:val="uk-UA"/>
        </w:rPr>
        <w:t>Позашкільна робота</w:t>
      </w:r>
      <w:r w:rsidRPr="00C55821">
        <w:rPr>
          <w:sz w:val="28"/>
          <w:szCs w:val="28"/>
          <w:lang w:val="uk-UA"/>
        </w:rPr>
        <w:t xml:space="preserve"> — освітньо-виховна діяльність позашкільних закладів для дітей та юнацтва.</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Обидва види роботи мають спільні завдання і передбачають застосування переважно однакових засобів, форм і методів виховання.</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Завдання позакласної та позашкільної роботи — закріплення, збагачення та поглиблення знань, набутих у процесі навчання, застосування їх на практиці; розширення загальноосвітнього кругозору учнів, формування в них наукового світогляду, вироблення вмінь і навичок самоосвіти; формування інтересів до різних галузей науки, техніки, мистецтва, спорту, виявлення і розвиток індивідуальних творчих здібностей та нахилів; організація дозвілля школярів, культурного відпочинку та розумних розваг; поширення виховного впливу на учнів у різних напрямах виховання.</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Її зміст визначається загальним змістом виховання учнівської молоді, який передбачає розумове, моральне, трудове, естетичне і фізичне виховання.</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Позакласна та позашкільна робота будується на розглянутих раніше принципах виховання, проте вона має і свої специфічні принципи: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Добровільний характер участі в ній. Сприяє тому, що учні можуть обирати профіль занять за інтересами. Педагоги за таких умов повинні ретельно продумувати зміст занять, використовуючи нові, ще не відомі учням факти, форми і методи, які б посилювали їх інтерес.</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Суспільна спрямованість діяльності учнів. Цей принцип вимагає, щоб зміст роботи гуртків, клубів та інших форм діяльності, відповідав потребам розбудови української держави, відображав досягнення сучасної науки, техніки, культури і мистецтва.</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Розвиток ініціативи і самодіяльності учнів. У позакласній і позашкільній діяльності слід ураховувати бажання школярів, їх пропозиції, щоб кожен із них виконував цікаву для себе роботу.</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lastRenderedPageBreak/>
        <w:t>Розвиток винахідливості, дитячої технічної та художньої творчості. Під час занять перед учнями слід ставити завдання пошукового характеру: створення нових приладів, удосконалення наявних; приділення особливої уваги творчому підходу до справи тощо.</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 xml:space="preserve">Зв'язок з навчальною роботою. Позакласна та позашкільна робота повинна бути логічним продовженням навчально-виховної роботи, яка здійснюється на уроках. Так, знання з </w:t>
      </w:r>
      <w:r>
        <w:rPr>
          <w:sz w:val="28"/>
          <w:szCs w:val="28"/>
          <w:lang w:val="uk-UA"/>
        </w:rPr>
        <w:t>різних предметів</w:t>
      </w:r>
      <w:r w:rsidRPr="00C55821">
        <w:rPr>
          <w:sz w:val="28"/>
          <w:szCs w:val="28"/>
          <w:lang w:val="uk-UA"/>
        </w:rPr>
        <w:t xml:space="preserve"> можуть бути поглиблені й розширені на тематичному вечорі, а з літератури — під час обговорення кінофільму чи спектаклю за літературним твором.</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Використання ігрових форм, цікавість, емоційність. Реалізація цього принципу потребує широкого використання пізнавальних ігор, ігор з комп'ютерами, демонстрування цікавих дослідів та ін.</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Масові, групові та індивідуальні форми виховної роботи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Форми організації виховання поділяють на масові, групові (гурткові), індивідуальні.</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Масові форми виховної роботи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До них відносять конференції, тематичні вечори, вечори запитань і відповідей, тижні з різних предметів, зустрічі з видатними людьми, огляди, конкурси, олімпіади, туризм, фестивалі, виставки стінної преси тощо.</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Читацька конференція — важливий засіб пропаганди художньої та науково-популярної літератури серед учнів, який допомагає їм глибше зрозуміти зміст та поетику твору, прищеплює літературно-естетичні смаки.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Конференції проводять на матеріалі одного або кількох творів однієї теми, творчості письменника, з окремої літературної або наукової проблеми. Залежно від типу конференцій та індивідуальних особливостей читацького колективу визначають структуру її проведення. У 5—7 класах вона наближається до бесіди, під час якої учні висловлюють своє ставлення до конкретного твору, читають напам'ять уривки з нього, ставлять інсценівки або переглядають діафільм, кінофільм. У старших класах учні виступають з доповідями, повідомленнями, в яких розмірковують про моральні риси, якості та вчинки персонажів, аналізують художні особливості творів.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Тематичні вечори, вечори запитань і відповідей присвячують різноманітним аспектам внутрішнього і міжнародного політичного життя, науки, техніки, культури, спорту, явищ природи тощо. На таких вечорах виступають запрошені гості, демонструють кінофільми та ін. У їх підготовці й проведенні беруть участь самі учні.</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Ранки-зустрічі, літературні вікторини. Практикують у роботі з молодшими школярами.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Зустрічі з відомими людьми краю влаштовують переважно для середнього та старшого шкільного віку.</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Показниками ефективності масових форм позашкільної діяльності здебільшого вважають кількісне охоплення, активність самих учнів.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lastRenderedPageBreak/>
        <w:t>Групові форми виховної роботи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До цих форм належать політичні інформації, години класного керівника, гуртки художньої самодіяльності, робота з пресою, радіо- і телепередачами, екскурсії, походи та ін.</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Політичні інформації поділяють на оглядові й тематичні. Оглядові політінформації — короткі популярні повідомлення про найважливіші події, які хвилюють світ. Тематичні політінформації присвячуються розкриттю одного або кількох питань, органічно пов'язаних між собою. У процесі політичного інформування учнів важливо забезпечити новизну, своєчасність, оптимальний для них обсяг, якість інформації (достовірність, надійність, повнота), а також селективність їх засвоєння.</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Аналізуючи ефективність політінформації, доцільно з'ясувати актуальність теми, рівень підготовленості учнів-політінформаторів, зацікавленість та активність слухачів. Учитель має звернути увагу на доступність інформації, використовувані учнями джерела, уміння узагальнювати, робити висновки. Поза його увагою не може бути й політична спрямованість інформації. Дуже важлива під час політінформації позиція й активність учителя.</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Година класного керівника — дієвий засіб формування у школярів наукового світогляду і моральної поведінки. Тематику таких годин розробляє класний керівник з урахуванням особливостей колективу учнів, їх проводять у формі етичної бесіди, лекції, диспуту, усного журналу, зустрічі з цікавими людьми, обговорення книг та ін. Годину класного керівника наприкінці кожного місяця доцільно присвятити підведенню підсумків навчально-виховної роботи класу.</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Орієнтовна структура і зміст години класного керівника:</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1. Підготовчий етап. Передбачає повідомлення учням теми, основних її питань для попереднього обдумування; доручення окремим із них самостійно підібрати матеріал, залучення учнів до читання літературних творів, статей, журналів, газет, перегляду кінофільмів, спектаклів, телепередач, добору ілюстративних матеріалів, репродукцій картин, портретів, плакатів, виготовлення таблиць, схем; проведення анкетного опитування. Вся ця робота стисло фіксується в конспекті.</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2. Зміст години класного керівника:</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а) вступна частина — повідомляється тема, мотивується її актуальність і необхідність, вказуються основні питання, визначаються завдання, які треба вирішити, учнів у загальних рисах вводять у суть теми. Вступ розрахований на 3—7 хв.;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 xml:space="preserve">б) основна частина — всебічно висвітлюють суть теми, ґрунтовно розкривають головні її питання, пояснюють зміст невідомих понять, наводять приклади, які б спонукали учнів до гуманних вчинків, пробуджували позитивні почуття і викликали осудливе ставлення до негативних дій. На цьому етапі переглядаються і аналізуються кіно-і діафільми, репродукції творів видатних художників, обговорюються прочитані твори, книги, журнальні чи газетні статті, прослуховуються фонозаписи, виступають запрошені, учні класу. Для виступів запрошених осіб, перегляду й аналізу кіно- та діафільмів, картин </w:t>
      </w:r>
      <w:r w:rsidRPr="00C55821">
        <w:rPr>
          <w:sz w:val="28"/>
          <w:szCs w:val="28"/>
          <w:lang w:val="uk-UA"/>
        </w:rPr>
        <w:lastRenderedPageBreak/>
        <w:t>художників, обговорення книги, статті, дається лише план. Основна частина триває до 35 хв.;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 підсумкова частина — короткі висновки й узагальнення на основі матеріалу, що розглядався, стислий аналіз виступів, а за потреби — їх доповнення чи уточнення, підсумки сказаного, спонукання учнів до формування в собі позитивних якостей, про які йшлося, завдання для самостійної роботи над собою, рекомендування певної літератури для самостійного читання;</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г) підсумкове слово класного керівника (5—7 хв.). Класний керівник має подбати, щоб учні не були пасивними слухачами і спостерігачами, а брали активну участь у проведенні цього заходу.</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Тему класної години доцільно дати учням заздалегідь, а також розподілити необхідну літературу, підготувати питання, які їх цікавлять, зібрати місцевий матеріал (цифри, факти, спогади тощо).</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Важлива роль у позакласній виховній роботі належить гурткам художньої самодіяльності. Виховна цінність участі учнів у їх роботі полягає в тому, що мистецтво естетично розвиває їх, пробуджує почуття відповідальності, колективне переживання успіхів і невдач. Учні мають змогу виявити свою творчість. Учасники художньої самодіяльності краще розуміють і відчувають красу мистецтва і природи, людських стосунків, більше тягнуться до книги. Ретельно слід підходити до репертуару художньої самодіяльності.</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Різноманітні форми та методи роботи з періодичною пресою передбачають, зокрема, колективне читання й обговорення чергового номера газети, огляд газет з певної теми, використання їх матеріалів на політінформаціях тощо. Передусім необхідно дізнатись, які газети передплачують учні, як вони їх читають, з ким і як обговорюють прочитане, що цікавить їх найбільше.</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Можна запланувати обговорення з учнями окремих матеріалів з газет, виготовлення альбомів з газетних вирізок, ознайомлення школярів з роботою місцевої друкарні й редакції та ін. Вчителеві самому слід регулярно читати газети, добираючи матеріал для читання й обговорення на політичні, моральні, спортивні та інші теми. Підібрані статті доцільно поділити на такі, що призначені для читання вголос, для самостійного читання і для переказу. Можна дати учням завдання: навчитися правильно, грамотно читати конкретну статтю і переказувати її зміст. Розподіляючи матеріал для читання, враховують уподобання учнів.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Щоб привчити їх грамотно читати періодичну пресу, варто запропонувати таку пам'ятку: 1. Читати газету щодня. 2. Обов'язково читати статті, які висвітлюють найактуальніші питання сьогодення. 3. Переглядати заголовки всіх статей, що допоможе зосередитися на цінному матеріалі. 4. Потрібну статтю читати уважніше, визначаючи в ній головне. 5. Звертати увагу на незрозумілі слова, з'ясовувати за допомогою словника їх зміст. 6. Читаючи газету, на політичній карті знайти місця, про які йдеться в ній. 7. Прочитане обговорювати на політінформаціях, а також із товаришами.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 xml:space="preserve">Випуск стінної газети — загальношкільної, класної, предметного гуртка, сатиричної та інших, до якого слід залучати якомога більше учнів через створення редакційних колегій, </w:t>
      </w:r>
      <w:r w:rsidRPr="00C55821">
        <w:rPr>
          <w:sz w:val="28"/>
          <w:szCs w:val="28"/>
          <w:lang w:val="uk-UA"/>
        </w:rPr>
        <w:lastRenderedPageBreak/>
        <w:t>кореспондентської мережі. Така діяльність сприяє розвитку спостережливості, вміння аналізувати, визначати власну позицію щодо фактів і явищ життя.</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Кожен черговий випуск газети повинен мати нове оформлення (крім заголовка). Вивішувати газету доцільно в спеціально відведеному місці в школі, щоб вона інформувала про стан справ у класі учнів школи.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Необхідно дбати також про культуру мови, стиль викладу.</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Радіо- і телепередачі, художні фільми мають важливе значення у виховній роботі. Крім передач Українського радіо, важливо слухати місцеве радіомовлення, а також радіоцентри шкіл. У школах практикують спеціальні радіопередачі про всі аспекти її життя і тих, хто так чи інакше відзначився останнім часом. Шкільне радіо транслює репортажі з засідань учнівського комітету, комісії дисципліни і порядку, іншу інформацію. Радіопередачі виховної тематики слухають безпосередньо під час їх транслювання або в магнітофонному запису. Учням пропонують визначити, чим керувався у своїй поведінці герой радіопостановки, чи правильно поводився з погляду моралі та права, в разі потреби коментують окремі місця передачі. Нерідко класні керівники рекомендують учням прослухати певну радіопередачу, а згодом у бесіді на класній годині використовують цей матеріал. При цьому важливо вчасно прокоментувати інформацію.</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Без перебільшень, першою школою сучасного школяра стали телеекран і кіно. Дані соціологічних досліджень свідчать, що дві третини вільного часу він віддає кінематографу, проводячи протягом року перед екраном телевізора і в кінотеатрі стільки ж часу, скільки й у стінах школи. Враховуючи вікові особливості дітей, у молодших школярів за допомогою перегляду фільмів-казок і мультиплікаційних фільмів формують уявлення про «добро» і «зло», відповідне ставлення до них.</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З учнями середніх класів переглядають і обговорюють кінофільми на морально-правові теми. Підлітків захоплюють сильні й горді герої пригодницьких фільмів. Під час обговорення таких фільмів учні усвідомлюють, за що борються, проти чого виступають їх герої. Старшокласники з інтересом переглядають фільми детективного жанру. Обговорення їх дає змогу вчителеві акцентувати увагу на різних правопорушеннях і злочинах, на необхідності боротьби з ними.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Учитель покликаний допомогти учням глибоко і критично сприймати побачене на екрані, правильно оцінювати події, явища, героїв, що сприяє виробленню правильних уявлень про норми і правила поведінки. Проте нерідко учні дивляться і кінопродукцію, адресовану дорослим, і не завжди можуть правильно зорієнтуватися в її змісті, часто захоплюються саме тим, що критикує автор, скептично ставляться до морально-правових норм поведінки, які пропагує фільм. Якщо до того ж врахувати, що неповнолітні надто захоплюються пригодницькими детективними фільмами, то стає зрозумілим їх намагання наслідувати в своїх діях і вчинках героїв цих фільмів. Тому педагоги повинні цікавитися, до яких кінофільмів вони виявляють інтерес, і відповідно коригувати цю роботу.</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Під час обговорення кінофільму створюються сприятливі умови для відвертої розмови, з'ясування позиції кожного учня. Педагог має можливість привернути їх увагу до проблем соціально-правового характеру, формувати почуття поваги до закону, непримиренність до правопорушень тощо.</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Виховна робота передбачає екскурсії на підприємства, в музеї, на виставки (про що вже йшлося раніше). З учнями середнього шкільного віку влаштовують близькі прогулянки в парк, сад, поле, на берег річки, а також одноденні походи (для старшокласників — кількаденні).</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Індивідуальні форми виховної роботи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Потреба індивідуального підходу зумовлена тим, що будь-який вплив на дитину переломлюється через її індивідуальні особливості, через «внутрішні умови». Необхідною умовою успішної індивідуальної роботи є вивчення індивідуальних особливостей учнів. Щоб впливати на особистість, треба її знати. Передусім важливо встановити довірливі, доброзичливі стосунки між педагогами і вихованцями. Зробити це часом нелегко, оскільки учні, які найбільше потребують індивідуальної виховної роботи, нерідко підозріло ставляться до педагогів. Велике значення при цьому має авторитет вихователя, знання ним вихованців, уміння швидко зорієнтуватися у ситуації, передбачити наслідки своїх дій.</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Така робота повинна бути систематичною, спрямовуватися не лише на проведення бесід з конкретного приводу, а й наперед продуманих профілактичних розмов та інших заходів з вихованцями.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 В індивідуальній виховній роботі осмислюють і визначають термін педагогічного впливу: розрахований він на отримання очікуваних результатів негайно чи внаслідок тривалого впливу на особистість. В одних випадках реагують на вчинок одразу, в інших — детально аналізують його і лише тоді вирішують, яких заходів виховного впливу вжити.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Методика індивідуального виховного впливу залежить від індивідуальних особливостей учня і його психологічного стану, темпераменту. В кожному конкретному випадку слід створити педагогічну ситуацію, яка б сприяла формуванню позитивних якостей чи усуненню негативних. Індивідуальний виховний вплив здійснюють через безпосередній вплив педагога на особистість учня або через колектив. Ці способи взаємопов'язані, взаємодоповнюють один одного. Безпосередній виховний вплив на вихованця педагог здійснює наодинці з ним або в присутності учнів, батьків, педагогів (що посилює виховний вплив, проте зловживати цим не слід, оскільки страждає почуття гідності дитини). В опосередкованому впливі на вихованця між ним і педагогом з'являється нова ланка — колектив. Вплив колективу може бути відкритий (вихователь явно ставить перед ним завдання впливу на конкретного учня), або прихований (завдання ставиться з таким розрахунком, що його виконання колективом само по собі позитивно вплине на учня). У першому випадку вихованець знає, що виховний вплив спрямований на нього, у другому — і він, і колектив можуть лише здогадуватися про це.</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 індивідуальній виховній роботі необхідно передбачити координування впливів на учня педагогів, батьків і колективу. Така координація здійснюється за умови щоденного аналізу результатів виховного впливу, обміну думками з питань життя і діяльності вихованців.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 xml:space="preserve">Для успішного ведення цієї роботи потрібне її планування, що враховує характеристики особистості й передбачувані результати виховного впливу (проект особистості). Це дає змогу управляти процесом виховання, координувати всі виховні впливи, поглиблювати й розширювати цілі та завдання виховання. Наявність проекту на кожного (чи хоча б на </w:t>
      </w:r>
      <w:r w:rsidRPr="00C55821">
        <w:rPr>
          <w:sz w:val="28"/>
          <w:szCs w:val="28"/>
          <w:lang w:val="uk-UA"/>
        </w:rPr>
        <w:lastRenderedPageBreak/>
        <w:t>педагогічне занедбаного) вихованця робить індивідуальну роботу педагогічне доцільною, цілеспрямованою.</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 індивідуальній виховній роботі використовують позакласне читання, колекціонування, гру на музичних інструментах, вишивання, малювання тощо. Індивідуальні форми роботи нерідко пов'язують з груповими і фронтальними.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Позакласне читання має на меті формування в учнів здорових читацьких інтересів, вироблення культури читання. Педагог повинен пояснити дітям та їх батькам, що і як слід читати, скільки відводити часу на позакласне читання залежно від вікових та індивідуальних особливостей. Важливо, щоб читання літератури було системним. Складаючи індивідуальний план читача, слід враховувати вимоги до читання в конкретному класі. На матеріалі прочитаних книг доцільно проводити бесіди, під час яких учні матимуть можливість обмінятися думками про улюблені твори.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Корисно привчити дітей складати відгуки на прочитані книги.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Бажана в класі й бібліотечка. Вона може складатися з книг шкільної бібліотеки і особистих книг учнів. Психологічний аспект значення такої бібліотеки полягає в тому, Що книги постійно в полі зору учнів.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Особливої уваги потребують учні, які мало читають, і ті, хто читає безсистемне. Для них слід цілеспрямовано підбирати книги.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Колекціонування позитивно впливає на загальний розвиток учнів, навчальну діяльність і поведінку, розширює кругозір і пізнавальні інтереси, формує дослідницькі навички, виховує цілеспрямованість і наполегливість. Найчастіше школярі захоплюються колекціонуванням марок (філателія), монет (нумізматика), художніх листівок, плакатів, репродукцій, рідше збиранням колекцій мінералів, плодів і насіння. Педагог повинен насамперед з'ясувати, кого і який вид колекціонування приваблює, яку мету ставить кожен колекціонер, які має досягнення, з якими труднощами -стикається, якої допомоги потребує, і на підставі цих спостережень планувати роботу з учнівського колекціонування. В одному випадку потрібно роз'яснити мету і значення колекціонування, в другому — дати правильне спрямування, в третьому — допомогти практично щодо збирання, оформлення і збереження матеріалів. Корисно організувати в класі виставки і огляди учнівських колекцій, повідомляючи про це заздалегідь. Всі експонати попередньо переглядає актив класу за участю педагога, відтак складають план проведення виставки. Вчитель чи хтось із школярів готує вступне й підсумкове слово. Учасники виставки мають коментувати експонати.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Ефективність масових, групових та індивідуальних форм виховання зростає за умови, що вони приведені у певну систему, пов'язані між собою і доповнюють одна одну.</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 xml:space="preserve">Цікавий досвід організації позакласної виховної роботи з учнями склався у середній загальноосвітній школі № </w:t>
      </w:r>
      <w:smartTag w:uri="urn:schemas-microsoft-com:office:smarttags" w:element="metricconverter">
        <w:smartTagPr>
          <w:attr w:name="ProductID" w:val="1 м"/>
        </w:smartTagPr>
        <w:r w:rsidRPr="00C55821">
          <w:rPr>
            <w:sz w:val="28"/>
            <w:szCs w:val="28"/>
            <w:lang w:val="uk-UA"/>
          </w:rPr>
          <w:t>1 м</w:t>
        </w:r>
      </w:smartTag>
      <w:r w:rsidRPr="00C55821">
        <w:rPr>
          <w:sz w:val="28"/>
          <w:szCs w:val="28"/>
          <w:lang w:val="uk-UA"/>
        </w:rPr>
        <w:t xml:space="preserve">. Зимогір'я на Луганщині. Тут педагогічним колективом створено навчально-виховні центри. Основна мета їх роботи — забезпечення органічної єдності навчальної та позаурочної діяльності учнів, виховних центрів школи, сім'ї і громадськості, розвиток творчих здібностей дітей, організація диференційованої роботи з ними. Таких центрів у школі сім: «Дитинство», «Здоров'я», «Екологічний», </w:t>
      </w:r>
      <w:r w:rsidRPr="00C55821">
        <w:rPr>
          <w:sz w:val="28"/>
          <w:szCs w:val="28"/>
          <w:lang w:val="uk-UA"/>
        </w:rPr>
        <w:lastRenderedPageBreak/>
        <w:t>«Народознавство», «Точні науки», «Політехнічний», «Література і мистецтво». Кожний з них став об'єднанням школярів за інтересами, провідною формою організації їх позаурочної діяльності. Центри охоплюють учнів 1 —12 класів.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Розміщені вони у відповідних шкільних навчальних кабінетах, використовують частину рекреацій. Так, центр «Дитинство» займає класні кімнати, де навчаються учні молодших класів, рекреації першого поверху, дитячий майданчик. Матеріальною базою центру «Точні науки» є кабінет математики і фізики, рекреації третього поверху. Діяльністю кожного центру керує вчитель. Він координує методичну, гурткову та індивідуальну роботи з учнями, спираючись на раду центру, яка затверджує режим роботи, вносить пропозиції щодо її поліпшення, звітує перед учнями тощо. У складі ради — вчитель-консультант та учні-консультанти, які надають допомогу вчителям-предметникам у роботі зі слабкими учнями, беруть участь в організації та проведенні різних заходів.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Форми роботи центрів зі школярами різноманітні: факультативи, гуртки, фестивалі, конкурси, олімпіади, зустрічі, концерти, спортивні змагання, туристичні походи та ін. Кожен центр проводить свої специфічні виховні заходи. Так, центр «Точні науки» організовує шкільні олімпіади з математики і фізики, готує їх переможців до районних олімпіад, проводить декади математики і фізики, огляди знань з математики і фізики, фізичні футболи, виготовлення наочних посібників, звітні виставки членів математичного і фізичного гуртків, науково-практичні конференції юних математиків і фізиків, математичні експреси, усні журнали тощо.</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Учні цієї школи знають, що з 15-ї до 20-ї години вони можуть знайти для себе справу до душі, що в центрі завжди готові допомогти виконати домашні завдання, проконсультувати з будь-якого питання, тому радо йдуть до школи й після уроків.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Виховні заходи з учнями 1—4 класів у школах доцільно організовувати до 19 години, з учнями 5—9 класів — не пізніше 20 години, з учнями 10—12 класів загальноосвітніх шкіл, ПТУ — не пізніше 21 години. Учням та їх батькам слід систематично нагадувати про недоцільність перебування неповнолітніх на вулицях після 20—21 години.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Позашкільні навчально-виховні заклади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Позашкільні навчально-виховні заклади — широкодоступні заклади освіти, які дають дітям та юнацтву додаткову освіту, спрямовану на здобуття знань, умінь і навичок за інтересами, забезпечують потреби особистості у творчій самореалізації та організації змістовного дозвілля.</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До них належать палаци, будинки, станції, клуби й центри дитячої, юнацької творчості, дитячо-юнацькі спортивні школи, школи мистецтва, студії, бібліотеки, оздоровчі та інші заклади.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Такі заклади можуть бути комплексними і профільними. Комплексний — творчі об'єднання за інтересами (гуртки, секції, ансамблі, театри тощо). Профільний — забезпечує умови для розвитку природних нахилів та інтересів дітей і підлітків, задоволення їх потреб з певного напряму діяльності. Усі вони працюють за річним планом, навчальний рік у них починається, як правило, 10 вересня поточного року і закінчується 26 травня наступного року.</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Набір учнів відбувається як на безконкурсній основі, так і за конкурсом, умови якого виробляє сам заклад. Навчально-виховний процес здійснюється диференційовано, відповідно до індивідуальних можливостей дітей та з урахуванням їх вікових особливостей.</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Палаци та будинки дитячої творчості організовують гуртки (наукові, технічні, мистецькі, спортивні тощо), творчі колективи художньої самодіяльності (хори, оркестри, ансамблі пісні й танцю, театральні колективи та ін.), клуби любителів природи.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Центри і станції юних техніків проводять серед школярів роботу в галузі техніки, організовуючи гуртки радіотехнічні, авіамодельні, фотолюбителів, телемеханіки та інші.</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Центри і станції юних натуралістів мають на меті виховання в учнів любові й інтересу до природи, формування у них умінь і навичок дослідницької роботи. Працюють гуртки юних городників, тваринників, садоводів, механізаторів сільського господарства та ін.</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Центри та станції юних туристів організовують подорожі школярів за межі постійного проживання для відпочинку і вивчення рідного краю та інших країн. Подорожі можуть бути пішохідними, лижними, автомобільними, авіаційними, велосипедними, водними, залізничними, комбінованими.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Дитячі спортивні школи готують на базі всебічного фізичного розвитку кваліфікованих спортсменів. У таких школах працюють секції з окремих видів спорту, а в них — навчальні групи за статтю, віком і ступенем спортивної підготовки учнів.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Дитячі залізниці сприяють розширенню технічного кругозору та розвитку технічної творчості учнів, допомагають в організації професійної орієнтації.</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Дитячі бібліотеки надають практичну допомогу школярам у засвоєнні ними знань з основ наук, сприяють розвитку читацьких інтересів, вихованню читацької культури, любові до книги.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У 1521 позашкільній установі займається понад 1 млн. 250 тис. дітей. З ними працює понад 3,5 тис. педагогічних працівників.</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Як і в позакласній, у позашкільній виховній роботі використовують масові, групові та індивідуальні форми виховання дітей. У цих закладах читають лекції про досягнення науки і техніки, організовують зустрічі з діячами науки, техніки, мистецтва, проводять виставки дитячої творчості, олімпіади, огляди, конкурси та ін. Групові форми виховної роботи зосереджують учнів на діяльності гуртків, секцій, клубів, студій та ін. Індивідуальна форма роботи передбачає виконання школярами творчих індивідуальних завдань, заняття з навчання гри на музичних інструментах, образортворчу діяльність у художніх школах тощо.</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Творчі об'єднання у цих закладах класифікуються за трьома рівнями: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Початковий — творчі об'єднання загальнорозвиваючо-го спрямування, що сприяють виявленню творчих здібностей дітей, розвитку їх інтересу до творчої діяльності.</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lastRenderedPageBreak/>
        <w:t>Основний — творчі об'єднання, які розвивають стійкі інтереси дітей та учнівської молоді, дають їм додаткову освіту, задовольняють потреби у професійній орієнтації.</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Вищий — творчі об'єднання за інтересами для юних талантів, обдарованих дітей та юнацтва.</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Відповідно до рівня класифікації визначають мету і перспективи діяльності творчого об'єднання, його чисельний склад, кількість годин для опанування програми тощо.</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Важливим завданням позашкільних установ є надання школам допомоги в організації позакласної виховної роботи з учнями. В Україні діє три державні позашкільні заклади — еколого-натуралістичний центр, центр науково-технічної творчості, центр туризму і краєзнавства. Як науково-методична установа функціонує Національний центр естетичного виховання. Набуло поширення створення позашкільних навчально-виховних закладів нового типу: навчально-дослідницьких та творчо-виробничих центрів творчості, туризму, краєзнавства, шкіл мистецтва, спортивно-технічних шкіл, клубних закладів, театральних комплексів, соціально-педагогічних комплексів, кіноцентрів, міжшкільних клубів тощо.</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За участю вихованців позашкільних закладів щороку проводять Всеукраїнські конкурси «Наукова зміна», «Таланти твої, Україно», виставки, олімпіади, турніри, конкурси.</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Вимоги до діяльності позашкільних установ випливають із загальних принципів організації позакласної та</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позашкільної роботи, що передбачають органічний зв'язок позашкільних установ з виховною діяльністю школи; узгодженість дій з виховною роботою дитячих та юнацьких організацій, сім'ї і громадськості; масове охоплення дітей за умови дотримання добровільності щодо участі в гуртках і секціях позашкільних установ; поєднання масових, групових та індивідуальних форм виховної роботи; вільний вибір дітьми характеру творчої діяльності; стимулювання їх активної творчої діяльності.</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Література</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Кобзар Б.С. Громадськість і виховання. — К., 1973.</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Кобзар Б.С., Харінко Н.Ф. Проблеми виховання в позашкільних закладах. — К., 1969.</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Концепція позакласної виховної роботи в загальноосвітній школі. — К., 1991.</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Суходольська Л.В., Фіцула М.М. Методика виховної роботи. — Тернопіль, 1998.</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r w:rsidRPr="00C55821">
        <w:rPr>
          <w:sz w:val="28"/>
          <w:szCs w:val="28"/>
          <w:lang w:val="uk-UA"/>
        </w:rPr>
        <w:t>Положення про позашкільний навчально-виховний заклад//Законодавство України про середню освіту. Бюлетень законодавства і юридичної практики України. — 1999. — № 9. — С. 239—246.</w:t>
      </w: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p>
    <w:p w:rsidR="00C55821" w:rsidRPr="00C55821" w:rsidRDefault="00C55821" w:rsidP="00C55821">
      <w:pPr>
        <w:jc w:val="both"/>
        <w:rPr>
          <w:sz w:val="28"/>
          <w:szCs w:val="28"/>
          <w:lang w:val="uk-UA"/>
        </w:rPr>
      </w:pPr>
    </w:p>
    <w:p w:rsidR="00072CE3" w:rsidRPr="00C55821" w:rsidRDefault="00072CE3" w:rsidP="00C55821">
      <w:pPr>
        <w:jc w:val="both"/>
        <w:rPr>
          <w:sz w:val="28"/>
          <w:szCs w:val="28"/>
          <w:lang w:val="uk-UA"/>
        </w:rPr>
      </w:pPr>
    </w:p>
    <w:sectPr w:rsidR="00072CE3" w:rsidRPr="00C55821" w:rsidSect="00C55821">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grammar="clean"/>
  <w:defaultTabStop w:val="708"/>
  <w:characterSpacingControl w:val="doNotCompress"/>
  <w:compat/>
  <w:rsids>
    <w:rsidRoot w:val="00C55821"/>
    <w:rsid w:val="00072CE3"/>
    <w:rsid w:val="00C55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821"/>
    <w:rPr>
      <w:rFonts w:ascii="Tahoma" w:hAnsi="Tahoma" w:cs="Tahoma"/>
      <w:sz w:val="16"/>
      <w:szCs w:val="16"/>
    </w:rPr>
  </w:style>
  <w:style w:type="character" w:customStyle="1" w:styleId="a4">
    <w:name w:val="Текст выноски Знак"/>
    <w:basedOn w:val="a0"/>
    <w:link w:val="a3"/>
    <w:uiPriority w:val="99"/>
    <w:semiHidden/>
    <w:rsid w:val="00C558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4248</Words>
  <Characters>24217</Characters>
  <Application>Microsoft Office Word</Application>
  <DocSecurity>0</DocSecurity>
  <Lines>201</Lines>
  <Paragraphs>56</Paragraphs>
  <ScaleCrop>false</ScaleCrop>
  <Company>Reanimator Extreme Edition</Company>
  <LinksUpToDate>false</LinksUpToDate>
  <CharactersWithSpaces>28409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2016-02-13T01:07:00Z</dcterms:created>
  <dcterms:modified xsi:type="dcterms:W3CDTF">2016-02-13T01:16:00Z</dcterms:modified>
</cp:coreProperties>
</file>