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D3" w:rsidRPr="000551D5" w:rsidRDefault="009274D3" w:rsidP="009274D3">
      <w:pPr>
        <w:rPr>
          <w:lang w:val="uk-UA"/>
        </w:rPr>
      </w:pPr>
    </w:p>
    <w:p w:rsidR="009274D3" w:rsidRDefault="009274D3" w:rsidP="009274D3">
      <w:pPr>
        <w:jc w:val="center"/>
        <w:rPr>
          <w:i/>
          <w:lang w:val="uk-UA"/>
        </w:rPr>
      </w:pPr>
    </w:p>
    <w:p w:rsidR="009274D3" w:rsidRDefault="009274D3" w:rsidP="009274D3">
      <w:pPr>
        <w:jc w:val="center"/>
        <w:rPr>
          <w:i/>
          <w:lang w:val="uk-UA"/>
        </w:rPr>
      </w:pPr>
    </w:p>
    <w:p w:rsidR="009274D3" w:rsidRDefault="009274D3" w:rsidP="009274D3">
      <w:pPr>
        <w:jc w:val="center"/>
        <w:rPr>
          <w:lang w:val="uk-UA"/>
        </w:rPr>
      </w:pPr>
    </w:p>
    <w:p w:rsidR="009274D3" w:rsidRDefault="009274D3" w:rsidP="009274D3">
      <w:pPr>
        <w:jc w:val="center"/>
        <w:rPr>
          <w:lang w:val="uk-UA"/>
        </w:rPr>
      </w:pPr>
    </w:p>
    <w:p w:rsidR="009274D3" w:rsidRDefault="009274D3" w:rsidP="009274D3">
      <w:pPr>
        <w:jc w:val="center"/>
        <w:rPr>
          <w:lang w:val="uk-UA"/>
        </w:rPr>
      </w:pPr>
    </w:p>
    <w:p w:rsidR="009274D3" w:rsidRPr="000551D5" w:rsidRDefault="009274D3" w:rsidP="009274D3">
      <w:pPr>
        <w:jc w:val="center"/>
        <w:rPr>
          <w:lang w:val="uk-UA"/>
        </w:rPr>
      </w:pPr>
    </w:p>
    <w:p w:rsidR="009274D3" w:rsidRPr="000551D5" w:rsidRDefault="004D7683" w:rsidP="009274D3">
      <w:pPr>
        <w:rPr>
          <w:lang w:val="uk-UA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2.3pt;margin-top:12.4pt;width:507.05pt;height:102pt;z-index:251658240" fillcolor="#c00000" stroked="f">
            <v:shadow on="t" color="#b2b2b2" opacity="52429f" offset="3pt"/>
            <v:textpath style="font-family:&quot;Times New Roman&quot;;font-size:24pt;font-weight:bold;v-text-kern:t" trim="t" fitpath="t" string="Через компетентного вчителя -&#10;до компетентного учня"/>
          </v:shape>
        </w:pict>
      </w:r>
      <w:r w:rsidR="009274D3">
        <w:t xml:space="preserve"> </w:t>
      </w:r>
    </w:p>
    <w:p w:rsidR="009274D3" w:rsidRDefault="009274D3" w:rsidP="009274D3"/>
    <w:p w:rsidR="009274D3" w:rsidRDefault="009274D3" w:rsidP="009274D3">
      <w:pPr>
        <w:jc w:val="center"/>
      </w:pPr>
    </w:p>
    <w:p w:rsidR="009274D3" w:rsidRPr="000551D5" w:rsidRDefault="009274D3" w:rsidP="009274D3"/>
    <w:p w:rsidR="009274D3" w:rsidRPr="000551D5" w:rsidRDefault="009274D3" w:rsidP="009274D3"/>
    <w:p w:rsidR="009274D3" w:rsidRPr="000551D5" w:rsidRDefault="009274D3" w:rsidP="009274D3"/>
    <w:p w:rsidR="009274D3" w:rsidRPr="000551D5" w:rsidRDefault="009274D3" w:rsidP="009274D3"/>
    <w:p w:rsidR="009274D3" w:rsidRPr="000551D5" w:rsidRDefault="009274D3" w:rsidP="009274D3">
      <w:pPr>
        <w:rPr>
          <w:lang w:val="uk-UA"/>
        </w:rPr>
      </w:pPr>
    </w:p>
    <w:p w:rsidR="009274D3" w:rsidRDefault="00490C7F" w:rsidP="009274D3">
      <w:pPr>
        <w:tabs>
          <w:tab w:val="left" w:pos="6521"/>
        </w:tabs>
        <w:jc w:val="center"/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292100</wp:posOffset>
            </wp:positionV>
            <wp:extent cx="3794760" cy="3644265"/>
            <wp:effectExtent l="19050" t="0" r="0" b="0"/>
            <wp:wrapNone/>
            <wp:docPr id="1" name="Рисунок 49" descr="Фотографии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Фотографии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364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74D3">
        <w:rPr>
          <w:lang w:val="uk-UA"/>
        </w:rPr>
        <w:t xml:space="preserve">                                                                                                  </w:t>
      </w:r>
    </w:p>
    <w:p w:rsidR="009274D3" w:rsidRDefault="009274D3" w:rsidP="009274D3">
      <w:pPr>
        <w:tabs>
          <w:tab w:val="left" w:pos="6521"/>
        </w:tabs>
        <w:rPr>
          <w:lang w:val="uk-UA"/>
        </w:rPr>
      </w:pPr>
    </w:p>
    <w:p w:rsidR="009274D3" w:rsidRDefault="009274D3" w:rsidP="009274D3">
      <w:pPr>
        <w:tabs>
          <w:tab w:val="left" w:pos="6521"/>
        </w:tabs>
        <w:jc w:val="center"/>
        <w:rPr>
          <w:lang w:val="uk-UA"/>
        </w:rPr>
      </w:pPr>
    </w:p>
    <w:p w:rsidR="009274D3" w:rsidRDefault="009274D3" w:rsidP="009274D3">
      <w:pPr>
        <w:tabs>
          <w:tab w:val="left" w:pos="3806"/>
        </w:tabs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color w:val="0070C0"/>
          <w:sz w:val="36"/>
          <w:szCs w:val="36"/>
          <w:lang w:val="uk-UA"/>
        </w:rPr>
        <w:t xml:space="preserve">                                     </w:t>
      </w:r>
    </w:p>
    <w:p w:rsidR="009274D3" w:rsidRPr="000551D5" w:rsidRDefault="009274D3" w:rsidP="009274D3">
      <w:pPr>
        <w:tabs>
          <w:tab w:val="left" w:pos="3806"/>
        </w:tabs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color w:val="0070C0"/>
          <w:sz w:val="36"/>
          <w:szCs w:val="36"/>
          <w:lang w:val="uk-UA"/>
        </w:rPr>
        <w:t xml:space="preserve">                          </w:t>
      </w:r>
    </w:p>
    <w:p w:rsidR="009274D3" w:rsidRDefault="009274D3">
      <w:pPr>
        <w:rPr>
          <w:lang w:val="uk-UA"/>
        </w:rPr>
      </w:pPr>
    </w:p>
    <w:p w:rsidR="009274D3" w:rsidRDefault="009274D3">
      <w:pPr>
        <w:rPr>
          <w:lang w:val="uk-UA"/>
        </w:rPr>
      </w:pPr>
    </w:p>
    <w:p w:rsidR="009274D3" w:rsidRDefault="009274D3">
      <w:pPr>
        <w:rPr>
          <w:lang w:val="uk-UA"/>
        </w:rPr>
      </w:pPr>
    </w:p>
    <w:p w:rsidR="009274D3" w:rsidRDefault="009274D3">
      <w:pPr>
        <w:rPr>
          <w:lang w:val="uk-UA"/>
        </w:rPr>
      </w:pPr>
    </w:p>
    <w:p w:rsidR="009274D3" w:rsidRDefault="009274D3">
      <w:pPr>
        <w:rPr>
          <w:lang w:val="uk-UA"/>
        </w:rPr>
      </w:pPr>
    </w:p>
    <w:p w:rsidR="009274D3" w:rsidRDefault="009274D3">
      <w:pPr>
        <w:rPr>
          <w:lang w:val="uk-UA"/>
        </w:rPr>
      </w:pPr>
    </w:p>
    <w:p w:rsidR="009274D3" w:rsidRDefault="009274D3">
      <w:pPr>
        <w:rPr>
          <w:lang w:val="uk-UA"/>
        </w:rPr>
      </w:pPr>
    </w:p>
    <w:p w:rsidR="009274D3" w:rsidRDefault="009274D3">
      <w:pPr>
        <w:rPr>
          <w:lang w:val="uk-UA"/>
        </w:rPr>
      </w:pPr>
    </w:p>
    <w:p w:rsidR="009274D3" w:rsidRPr="009274D3" w:rsidRDefault="009274D3">
      <w:pPr>
        <w:rPr>
          <w:lang w:val="uk-UA"/>
        </w:rPr>
      </w:pPr>
    </w:p>
    <w:tbl>
      <w:tblPr>
        <w:tblW w:w="5423" w:type="pct"/>
        <w:tblInd w:w="-30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915"/>
        <w:gridCol w:w="266"/>
      </w:tblGrid>
      <w:tr w:rsidR="00BD2BC8" w:rsidRPr="00BD2BC8" w:rsidTr="00490C7F">
        <w:tc>
          <w:tcPr>
            <w:tcW w:w="488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BD2BC8" w:rsidRPr="00BD2BC8" w:rsidRDefault="00BD2BC8" w:rsidP="00BD2BC8">
            <w:pPr>
              <w:spacing w:before="144" w:after="123" w:line="247" w:lineRule="atLeast"/>
              <w:ind w:right="-354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70C0"/>
                <w:kern w:val="36"/>
                <w:sz w:val="41"/>
                <w:szCs w:val="41"/>
                <w:lang w:eastAsia="ru-RU"/>
              </w:rPr>
            </w:pPr>
            <w:r w:rsidRPr="00BD2BC8">
              <w:rPr>
                <w:rFonts w:ascii="Arial" w:eastAsia="Times New Roman" w:hAnsi="Arial" w:cs="Arial"/>
                <w:b/>
                <w:bCs/>
                <w:color w:val="0070C0"/>
                <w:kern w:val="36"/>
                <w:sz w:val="41"/>
                <w:szCs w:val="41"/>
                <w:lang w:eastAsia="ru-RU"/>
              </w:rPr>
              <w:lastRenderedPageBreak/>
              <w:t xml:space="preserve">Через компетентного </w:t>
            </w:r>
            <w:proofErr w:type="spellStart"/>
            <w:r w:rsidRPr="00BD2BC8">
              <w:rPr>
                <w:rFonts w:ascii="Arial" w:eastAsia="Times New Roman" w:hAnsi="Arial" w:cs="Arial"/>
                <w:b/>
                <w:bCs/>
                <w:color w:val="0070C0"/>
                <w:kern w:val="36"/>
                <w:sz w:val="41"/>
                <w:szCs w:val="41"/>
                <w:lang w:eastAsia="ru-RU"/>
              </w:rPr>
              <w:t>вчителя</w:t>
            </w:r>
            <w:proofErr w:type="spellEnd"/>
            <w:r w:rsidRPr="00BD2BC8">
              <w:rPr>
                <w:rFonts w:ascii="Arial" w:eastAsia="Times New Roman" w:hAnsi="Arial" w:cs="Arial"/>
                <w:b/>
                <w:bCs/>
                <w:color w:val="0070C0"/>
                <w:kern w:val="36"/>
                <w:sz w:val="41"/>
                <w:szCs w:val="41"/>
                <w:lang w:eastAsia="ru-RU"/>
              </w:rPr>
              <w:t xml:space="preserve"> – </w:t>
            </w:r>
          </w:p>
          <w:p w:rsidR="00BD2BC8" w:rsidRPr="00BD2BC8" w:rsidRDefault="00BD2BC8" w:rsidP="00BD2BC8">
            <w:pPr>
              <w:spacing w:before="144" w:after="123" w:line="247" w:lineRule="atLeast"/>
              <w:ind w:right="-354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70C0"/>
                <w:kern w:val="36"/>
                <w:sz w:val="41"/>
                <w:szCs w:val="41"/>
                <w:lang w:eastAsia="ru-RU"/>
              </w:rPr>
            </w:pPr>
            <w:r w:rsidRPr="00BD2BC8">
              <w:rPr>
                <w:rFonts w:ascii="Arial" w:eastAsia="Times New Roman" w:hAnsi="Arial" w:cs="Arial"/>
                <w:b/>
                <w:bCs/>
                <w:color w:val="0070C0"/>
                <w:kern w:val="36"/>
                <w:sz w:val="41"/>
                <w:szCs w:val="41"/>
                <w:lang w:eastAsia="ru-RU"/>
              </w:rPr>
              <w:t xml:space="preserve">до   компетентного </w:t>
            </w:r>
            <w:proofErr w:type="spellStart"/>
            <w:r w:rsidRPr="00BD2BC8">
              <w:rPr>
                <w:rFonts w:ascii="Arial" w:eastAsia="Times New Roman" w:hAnsi="Arial" w:cs="Arial"/>
                <w:b/>
                <w:bCs/>
                <w:color w:val="0070C0"/>
                <w:kern w:val="36"/>
                <w:sz w:val="41"/>
                <w:szCs w:val="41"/>
                <w:lang w:eastAsia="ru-RU"/>
              </w:rPr>
              <w:t>учня</w:t>
            </w:r>
            <w:proofErr w:type="spellEnd"/>
          </w:p>
          <w:p w:rsidR="00BD2BC8" w:rsidRDefault="00BD2BC8" w:rsidP="00BD2BC8">
            <w:pPr>
              <w:spacing w:before="144" w:after="123" w:line="247" w:lineRule="atLeast"/>
              <w:ind w:right="-354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282828"/>
                <w:kern w:val="36"/>
                <w:sz w:val="32"/>
                <w:szCs w:val="32"/>
                <w:lang w:val="uk-UA" w:eastAsia="ru-RU"/>
              </w:rPr>
            </w:pPr>
          </w:p>
          <w:p w:rsidR="00BD2BC8" w:rsidRDefault="00BD2BC8" w:rsidP="00490C7F">
            <w:pPr>
              <w:spacing w:before="144" w:after="123" w:line="247" w:lineRule="atLeast"/>
              <w:ind w:right="148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282828"/>
                <w:kern w:val="36"/>
                <w:sz w:val="32"/>
                <w:szCs w:val="32"/>
                <w:lang w:val="uk-UA" w:eastAsia="ru-RU"/>
              </w:rPr>
            </w:pPr>
            <w:r w:rsidRPr="00BD2BC8">
              <w:rPr>
                <w:rFonts w:ascii="Times New Roman" w:eastAsia="Times New Roman" w:hAnsi="Times New Roman" w:cs="Times New Roman"/>
                <w:b/>
                <w:bCs/>
                <w:i/>
                <w:color w:val="282828"/>
                <w:kern w:val="36"/>
                <w:sz w:val="32"/>
                <w:szCs w:val="32"/>
                <w:lang w:val="uk-UA" w:eastAsia="ru-RU"/>
              </w:rPr>
              <w:t>Учителем не кожен може бути,</w:t>
            </w:r>
            <w:r w:rsidRPr="00BD2BC8">
              <w:rPr>
                <w:rFonts w:ascii="Times New Roman" w:eastAsia="Times New Roman" w:hAnsi="Times New Roman" w:cs="Times New Roman"/>
                <w:b/>
                <w:bCs/>
                <w:i/>
                <w:color w:val="282828"/>
                <w:kern w:val="36"/>
                <w:sz w:val="32"/>
                <w:szCs w:val="32"/>
                <w:lang w:val="uk-UA" w:eastAsia="ru-RU"/>
              </w:rPr>
              <w:br/>
              <w:t>Не кожне серце вміє говорить...</w:t>
            </w:r>
            <w:r w:rsidRPr="00BD2BC8">
              <w:rPr>
                <w:rFonts w:ascii="Times New Roman" w:eastAsia="Times New Roman" w:hAnsi="Times New Roman" w:cs="Times New Roman"/>
                <w:b/>
                <w:bCs/>
                <w:i/>
                <w:color w:val="282828"/>
                <w:kern w:val="36"/>
                <w:sz w:val="32"/>
                <w:szCs w:val="32"/>
                <w:lang w:val="uk-UA" w:eastAsia="ru-RU"/>
              </w:rPr>
              <w:br/>
              <w:t>Учитель лише той, хто вміє чути,</w:t>
            </w:r>
            <w:r w:rsidRPr="00BD2BC8">
              <w:rPr>
                <w:rFonts w:ascii="Times New Roman" w:eastAsia="Times New Roman" w:hAnsi="Times New Roman" w:cs="Times New Roman"/>
                <w:b/>
                <w:bCs/>
                <w:i/>
                <w:color w:val="282828"/>
                <w:kern w:val="36"/>
                <w:sz w:val="32"/>
                <w:szCs w:val="32"/>
                <w:lang w:val="uk-UA" w:eastAsia="ru-RU"/>
              </w:rPr>
              <w:br/>
              <w:t>Окрилити, навчити і любить.</w:t>
            </w:r>
            <w:r w:rsidRPr="00BD2BC8">
              <w:rPr>
                <w:rFonts w:ascii="Times New Roman" w:eastAsia="Times New Roman" w:hAnsi="Times New Roman" w:cs="Times New Roman"/>
                <w:b/>
                <w:bCs/>
                <w:i/>
                <w:color w:val="282828"/>
                <w:kern w:val="36"/>
                <w:sz w:val="32"/>
                <w:szCs w:val="32"/>
                <w:lang w:val="uk-UA" w:eastAsia="ru-RU"/>
              </w:rPr>
              <w:br/>
              <w:t>Тендітну душу ласкою зігріти</w:t>
            </w:r>
            <w:r w:rsidRPr="00BD2BC8">
              <w:rPr>
                <w:rFonts w:ascii="Times New Roman" w:eastAsia="Times New Roman" w:hAnsi="Times New Roman" w:cs="Times New Roman"/>
                <w:b/>
                <w:bCs/>
                <w:i/>
                <w:color w:val="282828"/>
                <w:kern w:val="36"/>
                <w:sz w:val="32"/>
                <w:szCs w:val="32"/>
                <w:lang w:val="uk-UA" w:eastAsia="ru-RU"/>
              </w:rPr>
              <w:br/>
              <w:t xml:space="preserve">І добротою ниву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b/>
                <w:bCs/>
                <w:i/>
                <w:color w:val="282828"/>
                <w:kern w:val="36"/>
                <w:sz w:val="32"/>
                <w:szCs w:val="32"/>
                <w:lang w:val="uk-UA" w:eastAsia="ru-RU"/>
              </w:rPr>
              <w:t>засівать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b/>
                <w:bCs/>
                <w:i/>
                <w:color w:val="282828"/>
                <w:kern w:val="36"/>
                <w:sz w:val="32"/>
                <w:szCs w:val="32"/>
                <w:lang w:val="uk-UA" w:eastAsia="ru-RU"/>
              </w:rPr>
              <w:t>,</w:t>
            </w:r>
            <w:r w:rsidRPr="00BD2BC8">
              <w:rPr>
                <w:rFonts w:ascii="Times New Roman" w:eastAsia="Times New Roman" w:hAnsi="Times New Roman" w:cs="Times New Roman"/>
                <w:b/>
                <w:bCs/>
                <w:i/>
                <w:color w:val="282828"/>
                <w:kern w:val="36"/>
                <w:sz w:val="32"/>
                <w:szCs w:val="32"/>
                <w:lang w:val="uk-UA" w:eastAsia="ru-RU"/>
              </w:rPr>
              <w:br/>
              <w:t>Безмежно, щиро цілий світ любити</w:t>
            </w:r>
            <w:r w:rsidRPr="00BD2BC8">
              <w:rPr>
                <w:rFonts w:ascii="Times New Roman" w:eastAsia="Times New Roman" w:hAnsi="Times New Roman" w:cs="Times New Roman"/>
                <w:b/>
                <w:bCs/>
                <w:i/>
                <w:color w:val="282828"/>
                <w:kern w:val="36"/>
                <w:sz w:val="32"/>
                <w:szCs w:val="32"/>
                <w:lang w:val="uk-UA" w:eastAsia="ru-RU"/>
              </w:rPr>
              <w:br/>
              <w:t xml:space="preserve">І дітям усього себе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b/>
                <w:bCs/>
                <w:i/>
                <w:color w:val="282828"/>
                <w:kern w:val="36"/>
                <w:sz w:val="32"/>
                <w:szCs w:val="32"/>
                <w:lang w:val="uk-UA" w:eastAsia="ru-RU"/>
              </w:rPr>
              <w:t>віддать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b/>
                <w:bCs/>
                <w:i/>
                <w:color w:val="282828"/>
                <w:kern w:val="36"/>
                <w:sz w:val="32"/>
                <w:szCs w:val="32"/>
                <w:lang w:val="uk-UA" w:eastAsia="ru-RU"/>
              </w:rPr>
              <w:t>.</w:t>
            </w:r>
          </w:p>
          <w:p w:rsidR="00BD2BC8" w:rsidRDefault="00BD2BC8" w:rsidP="00490C7F">
            <w:pPr>
              <w:spacing w:before="144" w:after="123" w:line="247" w:lineRule="atLeast"/>
              <w:ind w:right="148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282828"/>
                <w:kern w:val="36"/>
                <w:sz w:val="32"/>
                <w:szCs w:val="32"/>
                <w:lang w:val="uk-UA" w:eastAsia="ru-RU"/>
              </w:rPr>
            </w:pPr>
          </w:p>
          <w:p w:rsidR="00BD2BC8" w:rsidRDefault="00BD2BC8" w:rsidP="00BD2BC8">
            <w:pPr>
              <w:spacing w:before="144" w:after="123" w:line="247" w:lineRule="atLeast"/>
              <w:ind w:right="-35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282828"/>
                <w:kern w:val="36"/>
                <w:sz w:val="32"/>
                <w:szCs w:val="32"/>
                <w:lang w:val="uk-UA" w:eastAsia="ru-RU"/>
              </w:rPr>
            </w:pPr>
            <w:proofErr w:type="spellStart"/>
            <w:r w:rsidRPr="00BD2BC8">
              <w:rPr>
                <w:rFonts w:ascii="Times New Roman" w:eastAsia="Times New Roman" w:hAnsi="Times New Roman" w:cs="Times New Roman"/>
                <w:b/>
                <w:bCs/>
                <w:i/>
                <w:color w:val="282828"/>
                <w:kern w:val="36"/>
                <w:sz w:val="32"/>
                <w:szCs w:val="32"/>
                <w:lang w:val="uk-UA" w:eastAsia="ru-RU"/>
              </w:rPr>
              <w:t>Компетентнісний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b/>
                <w:bCs/>
                <w:i/>
                <w:color w:val="282828"/>
                <w:kern w:val="36"/>
                <w:sz w:val="32"/>
                <w:szCs w:val="32"/>
                <w:lang w:val="uk-UA" w:eastAsia="ru-RU"/>
              </w:rPr>
              <w:t xml:space="preserve"> підхід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282828"/>
                <w:kern w:val="36"/>
                <w:sz w:val="32"/>
                <w:szCs w:val="32"/>
                <w:lang w:val="uk-UA" w:eastAsia="ru-RU"/>
              </w:rPr>
              <w:t xml:space="preserve"> –</w:t>
            </w:r>
          </w:p>
          <w:p w:rsidR="00BD2BC8" w:rsidRPr="00BD2BC8" w:rsidRDefault="00BD2BC8" w:rsidP="00BD2BC8">
            <w:pPr>
              <w:spacing w:before="144" w:after="123" w:line="247" w:lineRule="atLeast"/>
              <w:ind w:right="-35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282828"/>
                <w:kern w:val="36"/>
                <w:sz w:val="32"/>
                <w:szCs w:val="32"/>
                <w:lang w:val="uk-UA" w:eastAsia="ru-RU"/>
              </w:rPr>
            </w:pPr>
          </w:p>
          <w:p w:rsidR="00BD2BC8" w:rsidRPr="00BD2BC8" w:rsidRDefault="000661B1" w:rsidP="00BD2BC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BD2BC8">
              <w:rPr>
                <w:rFonts w:ascii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Це спрямованість процесу навчання на формуванні в учнів ключових </w:t>
            </w:r>
            <w:proofErr w:type="spellStart"/>
            <w:r w:rsidRPr="00BD2BC8">
              <w:rPr>
                <w:rFonts w:ascii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компетентностей</w:t>
            </w:r>
            <w:proofErr w:type="spellEnd"/>
            <w:r w:rsidRPr="00BD2BC8">
              <w:rPr>
                <w:rFonts w:ascii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як важливого результату навчання. Навчальна діяльність має не просто дати людині суму знань, а сформувати комплекс </w:t>
            </w:r>
            <w:proofErr w:type="spellStart"/>
            <w:r w:rsidRPr="00BD2BC8">
              <w:rPr>
                <w:rFonts w:ascii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компетенцій</w:t>
            </w:r>
            <w:proofErr w:type="spellEnd"/>
            <w:r w:rsidRPr="00BD2BC8">
              <w:rPr>
                <w:rFonts w:ascii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BD2BC8" w:rsidRPr="00BD2BC8" w:rsidRDefault="00BD2BC8" w:rsidP="00BD2BC8">
            <w:pPr>
              <w:pStyle w:val="a6"/>
              <w:ind w:left="720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63459" w:rsidRPr="00BD2BC8" w:rsidRDefault="000661B1" w:rsidP="00BD2BC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BD2BC8">
              <w:rPr>
                <w:rFonts w:ascii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Компетенція - загальна здатність, що базується на знаннях, досвіді, цінностях, здібностях, набутих завдяки навчанню.</w:t>
            </w:r>
          </w:p>
          <w:p w:rsidR="00BD2BC8" w:rsidRPr="00BD2BC8" w:rsidRDefault="00BD2BC8" w:rsidP="00BD2BC8">
            <w:pPr>
              <w:spacing w:before="144" w:after="123" w:line="247" w:lineRule="atLeast"/>
              <w:ind w:right="-354"/>
              <w:jc w:val="both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282828"/>
                <w:kern w:val="36"/>
                <w:sz w:val="41"/>
                <w:szCs w:val="41"/>
                <w:lang w:eastAsia="ru-RU"/>
              </w:rPr>
            </w:pPr>
          </w:p>
        </w:tc>
        <w:tc>
          <w:tcPr>
            <w:tcW w:w="119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BD2BC8" w:rsidRPr="00BD2BC8" w:rsidRDefault="00BD2BC8" w:rsidP="00BD2BC8">
            <w:pPr>
              <w:spacing w:after="0" w:line="24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654040"/>
                <w:sz w:val="45"/>
                <w:szCs w:val="45"/>
                <w:lang w:val="uk-UA" w:eastAsia="ru-RU"/>
              </w:rPr>
            </w:pPr>
            <w:r w:rsidRPr="00BD2BC8">
              <w:rPr>
                <w:rFonts w:ascii="Arial" w:eastAsia="Times New Roman" w:hAnsi="Arial" w:cs="Arial"/>
                <w:color w:val="75A006"/>
                <w:sz w:val="21"/>
                <w:szCs w:val="21"/>
                <w:lang w:val="uk-UA" w:eastAsia="ru-RU"/>
              </w:rPr>
              <w:t xml:space="preserve"> </w:t>
            </w:r>
          </w:p>
        </w:tc>
      </w:tr>
      <w:tr w:rsidR="00BD2BC8" w:rsidRPr="00BD2BC8" w:rsidTr="00490C7F">
        <w:trPr>
          <w:gridAfter w:val="1"/>
          <w:wAfter w:w="119" w:type="pct"/>
          <w:trHeight w:val="1425"/>
        </w:trPr>
        <w:tc>
          <w:tcPr>
            <w:tcW w:w="488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BD2BC8" w:rsidRPr="00BD2BC8" w:rsidRDefault="00BD2BC8" w:rsidP="00BD2BC8">
            <w:pPr>
              <w:spacing w:after="62" w:line="3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val="uk-UA" w:eastAsia="ru-RU"/>
              </w:rPr>
            </w:pPr>
          </w:p>
          <w:p w:rsidR="00BD2BC8" w:rsidRPr="00BD2BC8" w:rsidRDefault="00BD2BC8" w:rsidP="00BD2BC8">
            <w:pPr>
              <w:spacing w:after="0" w:line="3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Традиційний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</w:t>
            </w:r>
            <w:proofErr w:type="gram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ідхід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до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процесу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в основному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орієнтований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на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комплексу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знань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умінь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та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навичок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Проте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освіта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сьогодні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переходить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від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знаннєцентричної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до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компетентнісно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спрямованої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тобто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до</w:t>
            </w:r>
            <w:proofErr w:type="gram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способів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застосування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знань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вмінь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на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практиці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.</w:t>
            </w:r>
          </w:p>
          <w:p w:rsidR="00BD2BC8" w:rsidRPr="00BD2BC8" w:rsidRDefault="00BD2BC8" w:rsidP="00BD2BC8">
            <w:pPr>
              <w:spacing w:after="62" w:line="3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</w:p>
          <w:p w:rsidR="00BD2BC8" w:rsidRPr="00BD2BC8" w:rsidRDefault="00BD2BC8" w:rsidP="00BD2BC8">
            <w:pPr>
              <w:spacing w:after="62" w:line="3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Плекається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нова модель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випускника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Формується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не </w:t>
            </w:r>
            <w:proofErr w:type="spellStart"/>
            <w:proofErr w:type="gram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ст</w:t>
            </w:r>
            <w:proofErr w:type="gram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ільки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інтелектуальний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ресурс»,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скільки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комунікативна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відповідальна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творча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особистість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здатна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до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саморозвитку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готова практично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розв’язувати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життєві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та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професійні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проблеми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. На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коні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не той,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хто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багато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зна</w:t>
            </w:r>
            <w:proofErr w:type="gram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є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,</w:t>
            </w:r>
            <w:proofErr w:type="gram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а той,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хто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вміє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цими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знаннями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розумно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розпоряджатися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.</w:t>
            </w:r>
          </w:p>
          <w:p w:rsidR="00BD2BC8" w:rsidRPr="00BD2BC8" w:rsidRDefault="00BD2BC8" w:rsidP="00BD2BC8">
            <w:pPr>
              <w:spacing w:after="62" w:line="3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Відповідно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змінюється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«портрет» учителя. </w:t>
            </w:r>
            <w:proofErr w:type="gram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На</w:t>
            </w:r>
            <w:proofErr w:type="gram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</w:t>
            </w:r>
            <w:proofErr w:type="gram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ідміну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від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традиційного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розуміння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провідної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ролі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вчителя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як головного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джерела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інформації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школа XXI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століття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пропонує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іншу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роль: учитель як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фасилітатор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провідник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та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спостерігач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який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створює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можливість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учням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застосувати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отримані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навички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здобуття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нових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знань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.</w:t>
            </w:r>
          </w:p>
          <w:p w:rsidR="00BD2BC8" w:rsidRPr="00BD2BC8" w:rsidRDefault="00BD2BC8" w:rsidP="00BD2BC8">
            <w:pPr>
              <w:spacing w:after="62" w:line="3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Основною метою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професійної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освіти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є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</w:t>
            </w:r>
            <w:proofErr w:type="gram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ідготовка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кваліфікованого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працівника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відповідного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рівня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профілю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конкурентоздатного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на ринку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праці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компетентного,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який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вільно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володіє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своєю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професією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й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орієнтується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в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суміжних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галузях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, готового до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професійного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зростання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соціальної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фахової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мобільності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.</w:t>
            </w:r>
          </w:p>
          <w:p w:rsidR="00BD2BC8" w:rsidRPr="00BD2BC8" w:rsidRDefault="00BD2BC8" w:rsidP="00BD2BC8">
            <w:pPr>
              <w:spacing w:after="62" w:line="3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Професійна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компетентність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учителя —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поняття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багатогранне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разом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тим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, у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системі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освіти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 —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динамічне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здатне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до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змін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Це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володіння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учителем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необхідною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сумою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знань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умінь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та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навичок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що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визначають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сформованість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його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педагогічної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педагогічного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спілкування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й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особистості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вчителя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як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носія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визначених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цінностей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ідеалів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педагогічної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св</w:t>
            </w:r>
            <w:proofErr w:type="gram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ідомості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.</w:t>
            </w:r>
          </w:p>
          <w:p w:rsidR="00BD2BC8" w:rsidRPr="00BD2BC8" w:rsidRDefault="00BD2BC8" w:rsidP="00BD2BC8">
            <w:pPr>
              <w:spacing w:after="62" w:line="3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</w:p>
          <w:p w:rsidR="00BD2BC8" w:rsidRPr="00BD2BC8" w:rsidRDefault="00BD2BC8" w:rsidP="00BD2BC8">
            <w:pPr>
              <w:spacing w:after="62" w:line="3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Компетентний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учитель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інтегрує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у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собі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високий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р</w:t>
            </w:r>
            <w:proofErr w:type="gram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івень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професійних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психологічних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соціальних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якостей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.</w:t>
            </w:r>
          </w:p>
          <w:p w:rsidR="00BD2BC8" w:rsidRPr="00BD2BC8" w:rsidRDefault="00BD2BC8" w:rsidP="00BD2BC8">
            <w:pPr>
              <w:spacing w:after="62" w:line="3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</w:p>
          <w:p w:rsidR="00BD2BC8" w:rsidRPr="00BD2BC8" w:rsidRDefault="00BD2BC8" w:rsidP="00BD2BC8">
            <w:pPr>
              <w:spacing w:after="0" w:line="3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Що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 ж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означає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поняття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компетентність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,</w:t>
            </w:r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 </w:t>
            </w:r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яка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його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структура?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Це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  <w:proofErr w:type="gram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складне</w:t>
            </w:r>
            <w:proofErr w:type="gram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утворення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інтегрований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результат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навчання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Виокремлюють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такі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його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  <w:r w:rsidRPr="00BD2BC8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 xml:space="preserve">три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складові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:</w:t>
            </w:r>
          </w:p>
          <w:p w:rsidR="00BD2BC8" w:rsidRPr="00BD2BC8" w:rsidRDefault="00BD2BC8" w:rsidP="00BD2BC8">
            <w:pPr>
              <w:spacing w:after="0" w:line="3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D2BC8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Соц</w:t>
            </w:r>
            <w:proofErr w:type="gramEnd"/>
            <w:r w:rsidRPr="00BD2BC8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іальні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компетентності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. Вони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пов’язані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оточенням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життям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суспільства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соціальною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діяльністю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здатність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особистості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до</w:t>
            </w:r>
            <w:r w:rsidRPr="00BD2BC8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співпраці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уміння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розв’язувати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проблеми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у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різних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життєвих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ситуаціях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навички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взаєморозуміння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соціальні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цінності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й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уміння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комунікаційні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навички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мобільність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за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різних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соціальних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умов).</w:t>
            </w:r>
          </w:p>
          <w:p w:rsidR="00BD2BC8" w:rsidRPr="00BD2BC8" w:rsidRDefault="00BD2BC8" w:rsidP="00BD2BC8">
            <w:pPr>
              <w:spacing w:after="62" w:line="3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</w:p>
          <w:p w:rsidR="00BD2BC8" w:rsidRPr="00BD2BC8" w:rsidRDefault="00BD2BC8" w:rsidP="00BD2BC8">
            <w:pPr>
              <w:spacing w:after="62" w:line="3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proofErr w:type="spellStart"/>
            <w:r w:rsidRPr="00BD2BC8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  <w:lang w:eastAsia="ru-RU"/>
              </w:rPr>
              <w:t>Мотиваційні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  <w:lang w:eastAsia="ru-RU"/>
              </w:rPr>
              <w:t>компетентності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  <w:lang w:eastAsia="ru-RU"/>
              </w:rPr>
              <w:t>.</w:t>
            </w:r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Пов’язан</w:t>
            </w:r>
            <w:proofErr w:type="gram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внутрішньою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мотивацією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інтересами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індивідуальним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вибором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особистості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здібності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креативність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уміння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досягати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успіхів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у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житті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практичні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навички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та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творчі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здібності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вміння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здійснювати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власний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вибір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).</w:t>
            </w:r>
          </w:p>
          <w:p w:rsidR="00BD2BC8" w:rsidRPr="00BD2BC8" w:rsidRDefault="00BD2BC8" w:rsidP="00BD2BC8">
            <w:pPr>
              <w:spacing w:after="62" w:line="3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</w:p>
          <w:p w:rsidR="00BD2BC8" w:rsidRPr="00BD2BC8" w:rsidRDefault="00BD2BC8" w:rsidP="00BD2BC8">
            <w:pPr>
              <w:spacing w:after="0" w:line="3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proofErr w:type="spellStart"/>
            <w:r w:rsidRPr="00BD2BC8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Функціональні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компетентності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.</w:t>
            </w:r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Це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уміння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оперувати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науковими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знаннями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фактичним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матері</w:t>
            </w:r>
            <w:proofErr w:type="gram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алом</w:t>
            </w:r>
            <w:proofErr w:type="spellEnd"/>
            <w:proofErr w:type="gram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технічна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й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наукова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компетентність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уміння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оперувати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знаннями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у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житті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й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навчанні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використовувати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джерела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інформації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власного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розвитку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).</w:t>
            </w:r>
          </w:p>
          <w:p w:rsidR="00BD2BC8" w:rsidRPr="00BD2BC8" w:rsidRDefault="00BD2BC8" w:rsidP="00BD2BC8">
            <w:pPr>
              <w:spacing w:after="62" w:line="3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</w:p>
          <w:p w:rsidR="00BD2BC8" w:rsidRPr="00BD2BC8" w:rsidRDefault="00BD2BC8" w:rsidP="00BD2BC8">
            <w:pPr>
              <w:spacing w:after="0" w:line="3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proofErr w:type="spellStart"/>
            <w:r w:rsidRPr="00BD2BC8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Загальнопредметні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базові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компетенції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вчителя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моделюються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на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основі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загальнопредметного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змісту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освіти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який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розпочинається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його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м</w:t>
            </w:r>
            <w:proofErr w:type="gram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ісця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на кожному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етапі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 —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початковому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основному,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середньому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Освітні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цілі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на кожному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етапі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визначаються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особливостями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функціонування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закладу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являють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собою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прогнозовані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такі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що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піддаються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діагностуванню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комплекси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освітніх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результатів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загальних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умінь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та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навичок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узагальнених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способів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навчальної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й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освітньої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компетенції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тобто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рівня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розвитку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особистості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вчителя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пов’язаного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якісним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змістом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освіти</w:t>
            </w:r>
            <w:proofErr w:type="gram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.</w:t>
            </w:r>
            <w:r w:rsidRPr="00BD2BC8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З</w:t>
            </w:r>
            <w:proofErr w:type="gramEnd"/>
            <w:r w:rsidRPr="00BD2BC8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агальнопредметна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компетентність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передбачає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володіння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сучасними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педтехнологіями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пов’язаними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трьома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компетенціями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надзвичайно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важливими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вчителя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: культурою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спілкування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умінням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отримувати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інформацію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у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своїй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предметній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галузі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перетворюючи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її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</w:t>
            </w:r>
            <w:proofErr w:type="gram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ід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навчання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використовуючи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самоосвіти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вмінням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передавати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інформацію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іншим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.</w:t>
            </w:r>
          </w:p>
          <w:p w:rsidR="00BD2BC8" w:rsidRPr="00BD2BC8" w:rsidRDefault="00BD2BC8" w:rsidP="00BD2BC8">
            <w:pPr>
              <w:spacing w:after="62" w:line="3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 </w:t>
            </w:r>
          </w:p>
          <w:p w:rsidR="00BD2BC8" w:rsidRPr="00BD2BC8" w:rsidRDefault="00BD2BC8" w:rsidP="00BD2BC8">
            <w:pPr>
              <w:spacing w:after="0" w:line="3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proofErr w:type="spellStart"/>
            <w:r w:rsidRPr="00BD2BC8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Предметні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компетенції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. </w:t>
            </w:r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Одним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факторі</w:t>
            </w:r>
            <w:proofErr w:type="gram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як</w:t>
            </w:r>
            <w:proofErr w:type="gram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визначають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якість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освіти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є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змістове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наповнення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предметних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компетенцій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учителя.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Це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педагогічно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адаптована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система:</w:t>
            </w:r>
          </w:p>
          <w:p w:rsidR="00BD2BC8" w:rsidRPr="00BD2BC8" w:rsidRDefault="00BD2BC8" w:rsidP="00BD2BC8">
            <w:pPr>
              <w:spacing w:after="62" w:line="3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—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наукових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знань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способів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вміння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діяти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за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зразком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);</w:t>
            </w:r>
          </w:p>
          <w:p w:rsidR="00BD2BC8" w:rsidRPr="00BD2BC8" w:rsidRDefault="00BD2BC8" w:rsidP="00BD2BC8">
            <w:pPr>
              <w:spacing w:after="62" w:line="3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—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досвіду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роботи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у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формі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вміння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приймати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ефективні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р</w:t>
            </w:r>
            <w:proofErr w:type="gram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ішення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в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проблемних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ситуаціях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;</w:t>
            </w:r>
          </w:p>
          <w:p w:rsidR="00BD2BC8" w:rsidRPr="00BD2BC8" w:rsidRDefault="00BD2BC8" w:rsidP="00BD2BC8">
            <w:pPr>
              <w:spacing w:after="62" w:line="3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—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досвіду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емоційно-ціннісного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ставлення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до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природи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суспільства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людини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.</w:t>
            </w:r>
          </w:p>
          <w:p w:rsidR="00BD2BC8" w:rsidRPr="00BD2BC8" w:rsidRDefault="00BD2BC8" w:rsidP="00BD2BC8">
            <w:pPr>
              <w:spacing w:after="62" w:line="3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</w:p>
          <w:p w:rsidR="00BD2BC8" w:rsidRPr="00BD2BC8" w:rsidRDefault="00BD2BC8" w:rsidP="00BD2BC8">
            <w:pPr>
              <w:spacing w:after="0" w:line="3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Державний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стандарт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базової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повної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загальної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середньої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освіти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визначає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такі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предметні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  <w:lang w:eastAsia="ru-RU"/>
              </w:rPr>
              <w:t>компетентності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(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галузеві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):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комунікативна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літературна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мистецька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міжпредметна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естетична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природничо-наукова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математична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проектно-технолог</w:t>
            </w:r>
            <w:proofErr w:type="gram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ічна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та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інформаційно-комунікаційна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суспільствознавча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історична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здоров’язбережувальна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.</w:t>
            </w:r>
          </w:p>
          <w:p w:rsidR="00BD2BC8" w:rsidRPr="00BD2BC8" w:rsidRDefault="00BD2BC8" w:rsidP="00BD2BC8">
            <w:pPr>
              <w:spacing w:after="62" w:line="3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</w:p>
          <w:p w:rsidR="00BD2BC8" w:rsidRPr="00BD2BC8" w:rsidRDefault="00BD2BC8" w:rsidP="00BD2BC8">
            <w:pPr>
              <w:spacing w:after="0" w:line="3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BD2B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82828"/>
                <w:sz w:val="28"/>
                <w:szCs w:val="28"/>
                <w:lang w:eastAsia="ru-RU"/>
              </w:rPr>
              <w:t>За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82828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82828"/>
                <w:sz w:val="28"/>
                <w:szCs w:val="28"/>
                <w:lang w:eastAsia="ru-RU"/>
              </w:rPr>
              <w:t>яких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82828"/>
                <w:sz w:val="28"/>
                <w:szCs w:val="28"/>
                <w:lang w:eastAsia="ru-RU"/>
              </w:rPr>
              <w:t>механізмів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82828"/>
                <w:sz w:val="28"/>
                <w:szCs w:val="28"/>
                <w:lang w:eastAsia="ru-RU"/>
              </w:rPr>
              <w:t>можна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82828"/>
                <w:sz w:val="28"/>
                <w:szCs w:val="28"/>
                <w:lang w:eastAsia="ru-RU"/>
              </w:rPr>
              <w:t>організувати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82828"/>
                <w:sz w:val="28"/>
                <w:szCs w:val="28"/>
                <w:lang w:eastAsia="ru-RU"/>
              </w:rPr>
              <w:t>діяльність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82828"/>
                <w:sz w:val="28"/>
                <w:szCs w:val="28"/>
                <w:lang w:eastAsia="ru-RU"/>
              </w:rPr>
              <w:t>педагогів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82828"/>
                <w:sz w:val="28"/>
                <w:szCs w:val="28"/>
                <w:lang w:eastAsia="ru-RU"/>
              </w:rPr>
              <w:t>спрямовану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82828"/>
                <w:sz w:val="28"/>
                <w:szCs w:val="28"/>
                <w:lang w:eastAsia="ru-RU"/>
              </w:rPr>
              <w:t xml:space="preserve"> на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82828"/>
                <w:sz w:val="28"/>
                <w:szCs w:val="28"/>
                <w:lang w:eastAsia="ru-RU"/>
              </w:rPr>
              <w:t>розвиток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82828"/>
                <w:sz w:val="28"/>
                <w:szCs w:val="28"/>
                <w:lang w:eastAsia="ru-RU"/>
              </w:rPr>
              <w:t>професійної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82828"/>
                <w:sz w:val="28"/>
                <w:szCs w:val="28"/>
                <w:lang w:eastAsia="ru-RU"/>
              </w:rPr>
              <w:t>компетентності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82828"/>
                <w:sz w:val="28"/>
                <w:szCs w:val="28"/>
                <w:lang w:eastAsia="ru-RU"/>
              </w:rPr>
              <w:t>?</w:t>
            </w:r>
          </w:p>
          <w:p w:rsidR="00BD2BC8" w:rsidRPr="00BD2BC8" w:rsidRDefault="00BD2BC8" w:rsidP="00BD2BC8">
            <w:pPr>
              <w:spacing w:after="0" w:line="3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proofErr w:type="spellStart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Навчання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 xml:space="preserve"> на курсах </w:t>
            </w:r>
            <w:proofErr w:type="spellStart"/>
            <w:proofErr w:type="gramStart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п</w:t>
            </w:r>
            <w:proofErr w:type="gramEnd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ідвищення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кваліфікації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також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дистанційно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 xml:space="preserve"> та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ін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.</w:t>
            </w:r>
          </w:p>
          <w:p w:rsidR="00BD2BC8" w:rsidRPr="00BD2BC8" w:rsidRDefault="00BD2BC8" w:rsidP="00BD2BC8">
            <w:pPr>
              <w:spacing w:after="0" w:line="3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 xml:space="preserve">Робота в ШМО,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творчих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групах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педмайстернях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майстер-класах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.</w:t>
            </w:r>
          </w:p>
          <w:p w:rsidR="00BD2BC8" w:rsidRPr="00BD2BC8" w:rsidRDefault="00BD2BC8" w:rsidP="00BD2BC8">
            <w:pPr>
              <w:spacing w:after="0" w:line="3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Активна участь у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педрадах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семі</w:t>
            </w:r>
            <w:proofErr w:type="gramStart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нарах</w:t>
            </w:r>
            <w:proofErr w:type="spellEnd"/>
            <w:proofErr w:type="gramEnd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конференціях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.</w:t>
            </w:r>
          </w:p>
          <w:p w:rsidR="00BD2BC8" w:rsidRPr="00BD2BC8" w:rsidRDefault="00BD2BC8" w:rsidP="00BD2BC8">
            <w:pPr>
              <w:spacing w:after="0" w:line="3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Участь у </w:t>
            </w:r>
            <w:proofErr w:type="spellStart"/>
            <w:proofErr w:type="gramStart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р</w:t>
            </w:r>
            <w:proofErr w:type="gramEnd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ізних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 xml:space="preserve"> конкурсах.</w:t>
            </w:r>
          </w:p>
          <w:p w:rsidR="00BD2BC8" w:rsidRPr="00BD2BC8" w:rsidRDefault="00BD2BC8" w:rsidP="00BD2BC8">
            <w:pPr>
              <w:spacing w:after="0" w:line="3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Участь у </w:t>
            </w:r>
            <w:proofErr w:type="spellStart"/>
            <w:proofErr w:type="gramStart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досл</w:t>
            </w:r>
            <w:proofErr w:type="gramEnd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ідницьких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 xml:space="preserve"> роботах,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публікацій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.</w:t>
            </w:r>
          </w:p>
          <w:p w:rsidR="00BD2BC8" w:rsidRPr="00BD2BC8" w:rsidRDefault="00BD2BC8" w:rsidP="00BD2BC8">
            <w:pPr>
              <w:spacing w:after="0" w:line="3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proofErr w:type="spellStart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Узагальнення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 xml:space="preserve"> та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поширення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досвіду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.</w:t>
            </w:r>
          </w:p>
          <w:p w:rsidR="00BD2BC8" w:rsidRPr="00BD2BC8" w:rsidRDefault="00BD2BC8" w:rsidP="00BD2BC8">
            <w:pPr>
              <w:spacing w:after="0" w:line="3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proofErr w:type="spellStart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Атестація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.</w:t>
            </w:r>
          </w:p>
          <w:p w:rsidR="00BD2BC8" w:rsidRPr="00BD2BC8" w:rsidRDefault="00BD2BC8" w:rsidP="00BD2BC8">
            <w:pPr>
              <w:spacing w:after="0" w:line="3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proofErr w:type="spellStart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Творчий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звіт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.</w:t>
            </w:r>
          </w:p>
          <w:p w:rsidR="00BD2BC8" w:rsidRPr="00BD2BC8" w:rsidRDefault="00BD2BC8" w:rsidP="00BD2BC8">
            <w:pPr>
              <w:spacing w:after="0" w:line="3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proofErr w:type="spellStart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Використання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сучасних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 xml:space="preserve"> методик, форм та 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засобів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навчання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нових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технологій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.</w:t>
            </w:r>
          </w:p>
          <w:p w:rsidR="00BD2BC8" w:rsidRPr="00BD2BC8" w:rsidRDefault="00BD2BC8" w:rsidP="00BD2BC8">
            <w:pPr>
              <w:spacing w:after="0" w:line="3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proofErr w:type="spellStart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Самоосвіта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.</w:t>
            </w:r>
          </w:p>
          <w:p w:rsidR="00BD2BC8" w:rsidRPr="00BD2BC8" w:rsidRDefault="00BD2BC8" w:rsidP="00BD2BC8">
            <w:pPr>
              <w:spacing w:after="0" w:line="3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proofErr w:type="spellStart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Розробка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системи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стимулювання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вчителя</w:t>
            </w:r>
            <w:proofErr w:type="spellEnd"/>
            <w:r w:rsidRPr="00BD2BC8">
              <w:rPr>
                <w:rFonts w:ascii="Times New Roman" w:eastAsia="Times New Roman" w:hAnsi="Times New Roman" w:cs="Times New Roman"/>
                <w:i/>
                <w:iCs/>
                <w:color w:val="282828"/>
                <w:sz w:val="28"/>
                <w:szCs w:val="28"/>
                <w:lang w:eastAsia="ru-RU"/>
              </w:rPr>
              <w:t>.</w:t>
            </w:r>
          </w:p>
          <w:p w:rsidR="00BD2BC8" w:rsidRPr="00BD2BC8" w:rsidRDefault="00BD2BC8" w:rsidP="00BD2BC8">
            <w:pPr>
              <w:spacing w:after="62" w:line="3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</w:p>
          <w:p w:rsidR="00BD2BC8" w:rsidRPr="00BD2BC8" w:rsidRDefault="00BD2BC8" w:rsidP="00BD2BC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563459" w:rsidRDefault="00BD2BC8" w:rsidP="00BD2BC8">
            <w:pPr>
              <w:pStyle w:val="a6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D2B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661B1" w:rsidRPr="00BD2BC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Орієнтуючись на сучасний ринок праці, освіта до пріоритетів сьогодення відносить уміння оперувати такими технологіями та знаннями, що задовольнять потреби інформаційного суспільства, підготують молодь до нових ролей у цьому суспільстві. </w:t>
            </w:r>
          </w:p>
          <w:p w:rsidR="00BD2BC8" w:rsidRPr="00BD2BC8" w:rsidRDefault="00BD2BC8" w:rsidP="00BD2BC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459" w:rsidRPr="00BD2BC8" w:rsidRDefault="000661B1" w:rsidP="00BD2BC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BC8">
              <w:rPr>
                <w:rFonts w:ascii="Times New Roman" w:hAnsi="Times New Roman" w:cs="Times New Roman"/>
                <w:iCs/>
                <w:sz w:val="28"/>
                <w:szCs w:val="28"/>
                <w:lang w:val="uk-UA" w:eastAsia="ru-RU"/>
              </w:rPr>
              <w:t>Саме тому важливим нині є не тільки вміння оперувати власними знаннями, а й бути готовим змінюватись та пристосовуватись до нових потреб ринку праці, оперувати й управляти інформацією, активно діяти, швидко приймати рішення, навчатись упродовж життя. Прогресивна освітня спільнота сьогодні ставить перед собою нове завдання – сформувати в школяра та дорослого вміння вчитись.</w:t>
            </w:r>
            <w:r w:rsidRPr="00BD2B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D2BC8" w:rsidRPr="00BD2BC8" w:rsidRDefault="00BD2BC8" w:rsidP="00BD2BC8">
            <w:pPr>
              <w:spacing w:after="62" w:line="3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  <w:p w:rsidR="00BD2BC8" w:rsidRPr="00BD2BC8" w:rsidRDefault="00BD2BC8" w:rsidP="00BD2BC8">
            <w:pPr>
              <w:spacing w:after="0" w:line="3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</w:p>
          <w:p w:rsidR="00BD2BC8" w:rsidRPr="00BD2BC8" w:rsidRDefault="00BD2BC8" w:rsidP="00BD2BC8">
            <w:pPr>
              <w:spacing w:after="62" w:line="3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</w:p>
          <w:p w:rsidR="00BD2BC8" w:rsidRPr="00BD2BC8" w:rsidRDefault="00BD2BC8" w:rsidP="00490C7F">
            <w:pPr>
              <w:spacing w:after="0" w:line="3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</w:t>
            </w:r>
            <w:r w:rsidRPr="00BD2BC8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</w:p>
        </w:tc>
      </w:tr>
    </w:tbl>
    <w:p w:rsidR="00652AFA" w:rsidRPr="00BD2BC8" w:rsidRDefault="00652AFA" w:rsidP="00490C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2AFA" w:rsidRPr="00BD2BC8" w:rsidSect="00490C7F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2357"/>
    <w:multiLevelType w:val="hybridMultilevel"/>
    <w:tmpl w:val="096A92AE"/>
    <w:lvl w:ilvl="0" w:tplc="AE28A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8CF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82F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DE4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B42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1CE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047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001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AED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2250183"/>
    <w:multiLevelType w:val="hybridMultilevel"/>
    <w:tmpl w:val="7862C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26E0B"/>
    <w:multiLevelType w:val="hybridMultilevel"/>
    <w:tmpl w:val="F2380C46"/>
    <w:lvl w:ilvl="0" w:tplc="41688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2AB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DA6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287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5AA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58F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8E0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661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D08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BD2BC8"/>
    <w:rsid w:val="000661B1"/>
    <w:rsid w:val="00490C7F"/>
    <w:rsid w:val="004D7683"/>
    <w:rsid w:val="00563459"/>
    <w:rsid w:val="00652AFA"/>
    <w:rsid w:val="009274D3"/>
    <w:rsid w:val="00BD2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FA"/>
  </w:style>
  <w:style w:type="paragraph" w:styleId="1">
    <w:name w:val="heading 1"/>
    <w:basedOn w:val="a"/>
    <w:link w:val="10"/>
    <w:uiPriority w:val="9"/>
    <w:qFormat/>
    <w:rsid w:val="00BD2B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B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D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D2BC8"/>
    <w:rPr>
      <w:i/>
      <w:iCs/>
    </w:rPr>
  </w:style>
  <w:style w:type="character" w:styleId="a5">
    <w:name w:val="Strong"/>
    <w:basedOn w:val="a0"/>
    <w:uiPriority w:val="22"/>
    <w:qFormat/>
    <w:rsid w:val="00BD2BC8"/>
    <w:rPr>
      <w:b/>
      <w:bCs/>
    </w:rPr>
  </w:style>
  <w:style w:type="character" w:customStyle="1" w:styleId="apple-converted-space">
    <w:name w:val="apple-converted-space"/>
    <w:basedOn w:val="a0"/>
    <w:rsid w:val="00BD2BC8"/>
  </w:style>
  <w:style w:type="paragraph" w:styleId="a6">
    <w:name w:val="No Spacing"/>
    <w:uiPriority w:val="1"/>
    <w:qFormat/>
    <w:rsid w:val="00BD2BC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D2B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6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5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3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2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2015-11-22T03:58:00Z</cp:lastPrinted>
  <dcterms:created xsi:type="dcterms:W3CDTF">2015-11-22T03:27:00Z</dcterms:created>
  <dcterms:modified xsi:type="dcterms:W3CDTF">2016-02-18T09:24:00Z</dcterms:modified>
</cp:coreProperties>
</file>